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vnd.openxmlformats-officedocument.spreadsheetml.sheet" Extension="xlsx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 xmlns:wp="http://schemas.openxmlformats.org/drawingml/2006/wordprocessingDrawing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《神射手数据中台》产品需求文档 (PRD) V1.1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文档状态：</w:t>
      </w:r>
      <w:r>
        <w:rPr>
          <w:rFonts w:eastAsia="等线" w:ascii="Arial" w:cs="Arial" w:hAnsi="Arial"/>
          <w:sz w:val="22"/>
        </w:rPr>
        <w:t xml:space="preserve"> 草案 </w:t>
      </w:r>
      <w:r>
        <w:rPr>
          <w:rFonts w:eastAsia="等线" w:ascii="Arial" w:cs="Arial" w:hAnsi="Arial"/>
          <w:b w:val="true"/>
          <w:sz w:val="22"/>
        </w:rPr>
        <w:t>产品名称：</w:t>
      </w:r>
      <w:r>
        <w:rPr>
          <w:rFonts w:eastAsia="等线" w:ascii="Arial" w:cs="Arial" w:hAnsi="Arial"/>
          <w:sz w:val="22"/>
        </w:rPr>
        <w:t xml:space="preserve"> 神射手数据中台 (Archer System) </w:t>
      </w:r>
      <w:r>
        <w:rPr>
          <w:rFonts w:eastAsia="等线" w:ascii="Arial" w:cs="Arial" w:hAnsi="Arial"/>
          <w:b w:val="true"/>
          <w:sz w:val="22"/>
        </w:rPr>
        <w:t>所属项目：</w:t>
      </w:r>
      <w:r>
        <w:rPr>
          <w:rFonts w:eastAsia="等线" w:ascii="Arial" w:cs="Arial" w:hAnsi="Arial"/>
          <w:sz w:val="22"/>
        </w:rPr>
        <w:t xml:space="preserve"> 私域银行项目群 </w:t>
      </w:r>
      <w:r>
        <w:rPr>
          <w:rFonts w:eastAsia="等线" w:ascii="Arial" w:cs="Arial" w:hAnsi="Arial"/>
          <w:b w:val="true"/>
          <w:sz w:val="22"/>
        </w:rPr>
        <w:t>创建人：</w:t>
      </w:r>
      <w:r>
        <w:rPr>
          <w:rFonts w:eastAsia="等线" w:ascii="Arial" w:cs="Arial" w:hAnsi="Arial"/>
          <w:sz w:val="22"/>
        </w:rPr>
        <w:t xml:space="preserve"> [谢远志] </w:t>
      </w:r>
      <w:r>
        <w:rPr>
          <w:rFonts w:eastAsia="等线" w:ascii="Arial" w:cs="Arial" w:hAnsi="Arial"/>
          <w:b w:val="true"/>
          <w:sz w:val="22"/>
        </w:rPr>
        <w:t>创建日期：</w:t>
      </w:r>
      <w:r>
        <w:rPr>
          <w:rFonts w:eastAsia="等线" w:ascii="Arial" w:cs="Arial" w:hAnsi="Arial"/>
          <w:sz w:val="22"/>
        </w:rPr>
        <w:t xml:space="preserve"> 2025-12-12 </w:t>
      </w:r>
      <w:r>
        <w:rPr>
          <w:rFonts w:eastAsia="等线" w:ascii="Arial" w:cs="Arial" w:hAnsi="Arial"/>
          <w:b w:val="true"/>
          <w:sz w:val="22"/>
        </w:rPr>
        <w:t>最后更新：</w:t>
      </w:r>
      <w:r>
        <w:rPr>
          <w:rFonts w:eastAsia="等线" w:ascii="Arial" w:cs="Arial" w:hAnsi="Arial"/>
          <w:sz w:val="22"/>
        </w:rPr>
        <w:t xml:space="preserve"> 2025-12-12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0" w:id="0"/>
      <w:r>
        <w:rPr>
          <w:rFonts w:eastAsia="等线" w:ascii="Arial" w:cs="Arial" w:hAnsi="Arial"/>
          <w:color w:val="3370ff"/>
          <w:sz w:val="30"/>
        </w:rPr>
        <w:t xml:space="preserve">1. </w:t>
      </w:r>
      <w:r>
        <w:rPr>
          <w:rFonts w:eastAsia="等线" w:ascii="Arial" w:cs="Arial" w:hAnsi="Arial"/>
          <w:b w:val="true"/>
          <w:sz w:val="30"/>
        </w:rPr>
        <w:t>文档版本控制</w:t>
      </w:r>
      <w:bookmarkEnd w:id="0"/>
    </w:p>
    <w:p>
      <w:pPr>
        <w:spacing w:before="120" w:after="120" w:line="288" w:lineRule="auto"/>
        <w:ind w:left="0"/>
      </w:pPr>
      <w:r>
        <w:object>
          <v:shapetype coordsize="21600,21600" filled="f" id="_x0000_t75" o:preferrelative="t" path="m@4@5l@4@11@9@11@9@5xe" stroked="f" o:spt="75.0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i1025" style="width:414pt;height:139pt;mso-width-percent:0;mso-height-percent:0;mso-width-percent:0;mso-height-percent:0" type="#_x0000_t75" o:ole="">
            <v:imagedata r:id="rId5" o:title=""/>
          </v:shape>
          <o:OLEObject DrawAspect="Icon" ObjectID="_1718471219" ProgID="Excel.Sheet.12" ShapeID="_x0000_i1025" Type="Embed" r:id="rId4"/>
        </w:object>
      </w:r>
    </w:p>
    <w:p>
      <w:pPr>
        <w:spacing w:after="120"/>
        <w:ind w:left="0"/>
        <w:jc w:val="center"/>
      </w:pPr>
      <w:r>
        <w:rPr>
          <w:rFonts w:eastAsia="等线" w:ascii="Arial" w:cs="Arial" w:hAnsi="Arial"/>
          <w:b w:val="true"/>
          <w:sz w:val="22"/>
        </w:rPr>
        <w:t>点击图片可查看完整电子表格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" w:id="1"/>
      <w:r>
        <w:rPr>
          <w:rFonts w:eastAsia="等线" w:ascii="Arial" w:cs="Arial" w:hAnsi="Arial"/>
          <w:color w:val="3370ff"/>
          <w:sz w:val="30"/>
        </w:rPr>
        <w:t xml:space="preserve">2. </w:t>
      </w:r>
      <w:r>
        <w:rPr>
          <w:rFonts w:eastAsia="等线" w:ascii="Arial" w:cs="Arial" w:hAnsi="Arial"/>
          <w:b w:val="true"/>
          <w:sz w:val="30"/>
        </w:rPr>
        <w:t>产品概述</w:t>
      </w:r>
      <w:bookmarkEnd w:id="1"/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2" w:id="2"/>
      <w:r>
        <w:rPr>
          <w:rFonts w:eastAsia="等线" w:ascii="Arial" w:cs="Arial" w:hAnsi="Arial"/>
          <w:b w:val="true"/>
          <w:sz w:val="28"/>
        </w:rPr>
        <w:t>2.1 项目背景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在“私域银行”生态中，存客宝、触客宝、数智员工等业务板块产生了海量、多源的用户行为与业务数据。目前面临数据分散、标准不一、价值难以量化、洞察依赖人工等问题，导致运营策略滞后、资源分配不精准、投资决策缺乏数据支撑。亟需一个统一、智能的数据中枢，对全生态数据进行治理、分析与价值挖掘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3" w:id="3"/>
      <w:r>
        <w:rPr>
          <w:rFonts w:eastAsia="等线" w:ascii="Arial" w:cs="Arial" w:hAnsi="Arial"/>
          <w:b w:val="true"/>
          <w:sz w:val="28"/>
        </w:rPr>
        <w:t>2.2 产品目标</w:t>
      </w:r>
      <w:bookmarkEnd w:id="3"/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核心目标</w:t>
      </w:r>
      <w:r>
        <w:rPr>
          <w:rFonts w:eastAsia="等线" w:ascii="Arial" w:cs="Arial" w:hAnsi="Arial"/>
          <w:sz w:val="22"/>
        </w:rPr>
        <w:t>：打造私域银行生态的数据心脏与智能大脑，实现数据资产化、洞察自动化、价值显性化。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业务目标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对内</w:t>
      </w:r>
      <w:r>
        <w:rPr>
          <w:rFonts w:eastAsia="等线" w:ascii="Arial" w:cs="Arial" w:hAnsi="Arial"/>
          <w:sz w:val="22"/>
        </w:rPr>
        <w:t>：为存客宝的策略制定、触客宝的精准营销、数智员工的流量评估提供实时、准确的数据服务与智能洞察。</w:t>
      </w:r>
    </w:p>
    <w:p>
      <w:pPr>
        <w:numPr>
          <w:numId w:val="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对外</w:t>
      </w:r>
      <w:r>
        <w:rPr>
          <w:rFonts w:eastAsia="等线" w:ascii="Arial" w:cs="Arial" w:hAnsi="Arial"/>
          <w:sz w:val="22"/>
        </w:rPr>
        <w:t>：生成标准化的数据产品（如人群包、行业报告），赋能业务增长与融资决策。</w:t>
      </w:r>
    </w:p>
    <w:p>
      <w:pPr>
        <w:numPr>
          <w:numId w:val="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成功指标 (OKR)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6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数据接入任务成功率 ≥ 99.5%</w:t>
      </w:r>
    </w:p>
    <w:p>
      <w:pPr>
        <w:numPr>
          <w:numId w:val="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用户标签覆盖率（有≥5个有效标签的用户比例）达到 80%</w:t>
      </w:r>
    </w:p>
    <w:p>
      <w:pPr>
        <w:numPr>
          <w:numId w:val="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价值评估模型对高价值用户的预测准确率（Precision@K）≥ 85%</w:t>
      </w:r>
    </w:p>
    <w:p>
      <w:pPr>
        <w:numPr>
          <w:numId w:val="9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数据产品（API/流量包）日均调用量/采购量增长 30% QoQ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4" w:id="4"/>
      <w:r>
        <w:rPr>
          <w:rFonts w:eastAsia="等线" w:ascii="Arial" w:cs="Arial" w:hAnsi="Arial"/>
          <w:b w:val="true"/>
          <w:sz w:val="28"/>
        </w:rPr>
        <w:t>2.3 产品定位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神射手是“私域银行”生态的</w:t>
      </w:r>
      <w:r>
        <w:rPr>
          <w:rFonts w:eastAsia="等线" w:ascii="Arial" w:cs="Arial" w:hAnsi="Arial"/>
          <w:b w:val="true"/>
          <w:sz w:val="22"/>
        </w:rPr>
        <w:t>核心数据中台与智能分析平台</w:t>
      </w:r>
      <w:r>
        <w:rPr>
          <w:rFonts w:eastAsia="等线" w:ascii="Arial" w:cs="Arial" w:hAnsi="Arial"/>
          <w:sz w:val="22"/>
        </w:rPr>
        <w:t>。它不直接面向终端用户，而是作为能力引擎，通过API和服务化方式，为其他业务板块（存客宝、触客宝、数智员工、聚宝盆）提供统一、强大的数据处理、用户洞察与价值评估能力。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5" w:id="5"/>
      <w:r>
        <w:rPr>
          <w:rFonts w:eastAsia="等线" w:ascii="Arial" w:cs="Arial" w:hAnsi="Arial"/>
          <w:b w:val="true"/>
          <w:sz w:val="28"/>
        </w:rPr>
        <w:t>2.4 用户角色与画像</w:t>
      </w:r>
      <w:bookmarkEnd w:id="5"/>
    </w:p>
    <w:p>
      <w:pPr>
        <w:spacing w:before="120" w:after="120" w:line="288" w:lineRule="auto"/>
        <w:ind w:left="0"/>
      </w:pPr>
      <w:r>
        <w:object>
          <v:shape id="_x0000_i1026" style="width:414pt;height:197pt;mso-width-percent:0;mso-height-percent:0;mso-width-percent:0;mso-height-percent:0" type="#_x0000_t75" o:ole="">
            <v:imagedata r:id="rId8" o:title=""/>
          </v:shape>
          <o:OLEObject DrawAspect="Icon" ObjectID="_1718471220" ProgID="Excel.Sheet.12" ShapeID="_x0000_i1026" Type="Embed" r:id="rId7"/>
        </w:object>
      </w:r>
    </w:p>
    <w:p>
      <w:pPr>
        <w:spacing w:after="120"/>
        <w:ind w:left="0"/>
        <w:jc w:val="center"/>
      </w:pPr>
      <w:r>
        <w:rPr>
          <w:rFonts w:eastAsia="等线" w:ascii="Arial" w:cs="Arial" w:hAnsi="Arial"/>
          <w:b w:val="true"/>
          <w:sz w:val="22"/>
        </w:rPr>
        <w:t>点击图片可查看完整电子表格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6" w:id="6"/>
      <w:r>
        <w:rPr>
          <w:rFonts w:eastAsia="等线" w:ascii="Arial" w:cs="Arial" w:hAnsi="Arial"/>
          <w:color w:val="3370ff"/>
          <w:sz w:val="30"/>
        </w:rPr>
        <w:t xml:space="preserve">3. </w:t>
      </w:r>
      <w:r>
        <w:rPr>
          <w:rFonts w:eastAsia="等线" w:ascii="Arial" w:cs="Arial" w:hAnsi="Arial"/>
          <w:b w:val="true"/>
          <w:sz w:val="30"/>
        </w:rPr>
        <w:t>产品架构</w:t>
      </w:r>
      <w:bookmarkEnd w:id="6"/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7" w:id="7"/>
      <w:r>
        <w:rPr>
          <w:rFonts w:eastAsia="等线" w:ascii="Arial" w:cs="Arial" w:hAnsi="Arial"/>
          <w:b w:val="true"/>
          <w:sz w:val="28"/>
        </w:rPr>
        <w:t>3.1 总体架构图</w:t>
      </w:r>
      <w:bookmarkEnd w:id="7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神射手数据中台采用分层、解耦的微服务架构，确保高可用、高扩展性。总体架构如下</w:t>
      </w:r>
    </w:p>
    <w:p>
      <w:pPr>
        <w:spacing w:before="120" w:after="120" w:line="288" w:lineRule="auto"/>
        <w:ind w:left="0"/>
        <w:jc w:val="center"/>
      </w:pPr>
      <w:r>
        <w:drawing>
          <wp:inline distT="0" distR="0" distB="0" distL="0">
            <wp:extent cx="5257800" cy="4200525"/>
            <wp:docPr id="0" name="Drawing 0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应用层</w:t>
      </w:r>
      <w:r>
        <w:rPr>
          <w:rFonts w:eastAsia="等线" w:ascii="Arial" w:cs="Arial" w:hAnsi="Arial"/>
          <w:sz w:val="22"/>
        </w:rPr>
        <w:t>：面向不同角色的工作台（数据驾驶舱、画像工作台等）。</w:t>
      </w:r>
    </w:p>
    <w:p>
      <w:pPr>
        <w:numPr>
          <w:numId w:val="1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服务层</w:t>
      </w:r>
      <w:r>
        <w:rPr>
          <w:rFonts w:eastAsia="等线" w:ascii="Arial" w:cs="Arial" w:hAnsi="Arial"/>
          <w:sz w:val="22"/>
        </w:rPr>
        <w:t>：提供核心数据能力的微服务集合（数据服务、标签服务、估值服务、AI服务）。</w:t>
      </w:r>
    </w:p>
    <w:p>
      <w:pPr>
        <w:numPr>
          <w:numId w:val="1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数据层</w:t>
      </w:r>
      <w:r>
        <w:rPr>
          <w:rFonts w:eastAsia="等线" w:ascii="Arial" w:cs="Arial" w:hAnsi="Arial"/>
          <w:sz w:val="22"/>
        </w:rPr>
        <w:t>：分层存储的原始数据、清洗后数据、特征数据与模型。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基础设施层</w:t>
      </w:r>
      <w:r>
        <w:rPr>
          <w:rFonts w:eastAsia="等线" w:ascii="Arial" w:cs="Arial" w:hAnsi="Arial"/>
          <w:sz w:val="22"/>
        </w:rPr>
        <w:t>：云资源、计算引擎、安全体系等。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8" w:id="8"/>
      <w:r>
        <w:rPr>
          <w:rFonts w:eastAsia="等线" w:ascii="Arial" w:cs="Arial" w:hAnsi="Arial"/>
          <w:b w:val="true"/>
          <w:sz w:val="28"/>
        </w:rPr>
        <w:t>3.2 模块划分</w:t>
      </w:r>
      <w:bookmarkEnd w:id="8"/>
    </w:p>
    <w:p>
      <w:pPr>
        <w:numPr>
          <w:numId w:val="1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数据接入与治理中心</w:t>
      </w:r>
      <w:r>
        <w:rPr>
          <w:rFonts w:eastAsia="等线" w:ascii="Arial" w:cs="Arial" w:hAnsi="Arial"/>
          <w:sz w:val="22"/>
        </w:rPr>
        <w:t>：负责多源数据采集、清洗、标准化与任务调度。</w:t>
      </w:r>
    </w:p>
    <w:p>
      <w:pPr>
        <w:numPr>
          <w:numId w:val="1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标签与画像中心</w:t>
      </w:r>
      <w:r>
        <w:rPr>
          <w:rFonts w:eastAsia="等线" w:ascii="Arial" w:cs="Arial" w:hAnsi="Arial"/>
          <w:sz w:val="22"/>
        </w:rPr>
        <w:t>：负责标签体系管理、用户画像构建与人群圈选。</w:t>
      </w:r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价值评估与模型中心</w:t>
      </w:r>
      <w:r>
        <w:rPr>
          <w:rFonts w:eastAsia="等线" w:ascii="Arial" w:cs="Arial" w:hAnsi="Arial"/>
          <w:sz w:val="22"/>
        </w:rPr>
        <w:t>：负责估值模型的管理、训练、发布与评估服务。</w:t>
      </w:r>
    </w:p>
    <w:p>
      <w:pPr>
        <w:numPr>
          <w:numId w:val="1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AI赋能与洞察中心</w:t>
      </w:r>
      <w:r>
        <w:rPr>
          <w:rFonts w:eastAsia="等线" w:ascii="Arial" w:cs="Arial" w:hAnsi="Arial"/>
          <w:sz w:val="22"/>
        </w:rPr>
        <w:t>：负责AI能力集成，提供智能打标、预测与报告生成。</w:t>
      </w:r>
    </w:p>
    <w:p>
      <w:pPr>
        <w:numPr>
          <w:numId w:val="1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数据资产管理与输出中心</w:t>
      </w:r>
      <w:r>
        <w:rPr>
          <w:rFonts w:eastAsia="等线" w:ascii="Arial" w:cs="Arial" w:hAnsi="Arial"/>
          <w:sz w:val="22"/>
        </w:rPr>
        <w:t>：负责将数据能力产品化，管理API与流量包。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9" w:id="9"/>
      <w:r>
        <w:rPr>
          <w:rFonts w:eastAsia="等线" w:ascii="Arial" w:cs="Arial" w:hAnsi="Arial"/>
          <w:b w:val="true"/>
          <w:sz w:val="28"/>
        </w:rPr>
        <w:t>3.3 系统关联图</w:t>
      </w:r>
      <w:bookmarkEnd w:id="9"/>
    </w:p>
    <w:p>
      <w:pPr>
        <w:spacing w:before="120" w:after="120" w:line="288" w:lineRule="auto"/>
        <w:ind w:left="0"/>
        <w:jc w:val="center"/>
      </w:pPr>
      <w:r>
        <w:drawing>
          <wp:inline distT="0" distR="0" distB="0" distL="0">
            <wp:extent cx="5257800" cy="2695575"/>
            <wp:docPr id="1" name="Drawing 1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1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数据流入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20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存客宝</w:t>
      </w:r>
      <w:r>
        <w:rPr>
          <w:rFonts w:eastAsia="等线" w:ascii="Arial" w:cs="Arial" w:hAnsi="Arial"/>
          <w:sz w:val="22"/>
        </w:rPr>
        <w:t>：提供用户基础信息、项目参与记录、交易流水等。</w:t>
      </w:r>
    </w:p>
    <w:p>
      <w:pPr>
        <w:numPr>
          <w:numId w:val="21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触客宝</w:t>
      </w:r>
      <w:r>
        <w:rPr>
          <w:rFonts w:eastAsia="等线" w:ascii="Arial" w:cs="Arial" w:hAnsi="Arial"/>
          <w:sz w:val="22"/>
        </w:rPr>
        <w:t>：提供用户互动行为（点击、浏览、分享、评论）、活动参与数据。</w:t>
      </w:r>
    </w:p>
    <w:p>
      <w:pPr>
        <w:numPr>
          <w:numId w:val="22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数智员工</w:t>
      </w:r>
      <w:r>
        <w:rPr>
          <w:rFonts w:eastAsia="等线" w:ascii="Arial" w:cs="Arial" w:hAnsi="Arial"/>
          <w:sz w:val="22"/>
        </w:rPr>
        <w:t>：提供账号/流量包基础信息、粉丝画像、内容表现数据。</w:t>
      </w:r>
    </w:p>
    <w:p>
      <w:pPr>
        <w:numPr>
          <w:numId w:val="2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外部系统</w:t>
      </w:r>
      <w:r>
        <w:rPr>
          <w:rFonts w:eastAsia="等线" w:ascii="Arial" w:cs="Arial" w:hAnsi="Arial"/>
          <w:sz w:val="22"/>
        </w:rPr>
        <w:t>：通过API或文件方式接入第三方数据（如征信数据、行业数据）。</w:t>
      </w:r>
    </w:p>
    <w:p>
      <w:pPr>
        <w:numPr>
          <w:numId w:val="2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服务输出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2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向存客宝/触客宝</w:t>
      </w:r>
      <w:r>
        <w:rPr>
          <w:rFonts w:eastAsia="等线" w:ascii="Arial" w:cs="Arial" w:hAnsi="Arial"/>
          <w:sz w:val="22"/>
        </w:rPr>
        <w:t>：提供用户画像查询API、人群包推送服务、活动效果分析报告。</w:t>
      </w:r>
    </w:p>
    <w:p>
      <w:pPr>
        <w:numPr>
          <w:numId w:val="26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向数智员工</w:t>
      </w:r>
      <w:r>
        <w:rPr>
          <w:rFonts w:eastAsia="等线" w:ascii="Arial" w:cs="Arial" w:hAnsi="Arial"/>
          <w:sz w:val="22"/>
        </w:rPr>
        <w:t>：提供账号价值评估API、流量包质量分析报告。</w:t>
      </w:r>
    </w:p>
    <w:p>
      <w:pPr>
        <w:numPr>
          <w:numId w:val="2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向聚宝盆</w:t>
      </w:r>
      <w:r>
        <w:rPr>
          <w:rFonts w:eastAsia="等线" w:ascii="Arial" w:cs="Arial" w:hAnsi="Arial"/>
          <w:sz w:val="22"/>
        </w:rPr>
        <w:t>：提供核心业务指标（如GMV、用户增长、ROI）的聚合数据接口。</w:t>
      </w:r>
    </w:p>
    <w:p>
      <w:pPr>
        <w:numPr>
          <w:numId w:val="2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产品输出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29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对内</w:t>
      </w:r>
      <w:r>
        <w:rPr>
          <w:rFonts w:eastAsia="等线" w:ascii="Arial" w:cs="Arial" w:hAnsi="Arial"/>
          <w:sz w:val="22"/>
        </w:rPr>
        <w:t>：将高价值人群包、行业洞察报告作为数据产品，供内部业务方使用。</w:t>
      </w:r>
    </w:p>
    <w:p>
      <w:pPr>
        <w:numPr>
          <w:numId w:val="30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对外</w:t>
      </w:r>
      <w:r>
        <w:rPr>
          <w:rFonts w:eastAsia="等线" w:ascii="Arial" w:cs="Arial" w:hAnsi="Arial"/>
          <w:sz w:val="22"/>
        </w:rPr>
        <w:t>：将脱敏、聚合后的行业报告、趋势分析包售卖给外部客户。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0" w:id="10"/>
      <w:r>
        <w:rPr>
          <w:rFonts w:eastAsia="等线" w:ascii="Arial" w:cs="Arial" w:hAnsi="Arial"/>
          <w:color w:val="3370ff"/>
          <w:sz w:val="30"/>
        </w:rPr>
        <w:t xml:space="preserve">4. </w:t>
      </w:r>
      <w:r>
        <w:rPr>
          <w:rFonts w:eastAsia="等线" w:ascii="Arial" w:cs="Arial" w:hAnsi="Arial"/>
          <w:b w:val="true"/>
          <w:sz w:val="30"/>
        </w:rPr>
        <w:t>详细功能需求</w:t>
      </w:r>
      <w:bookmarkEnd w:id="10"/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11" w:id="11"/>
      <w:r>
        <w:rPr>
          <w:rFonts w:eastAsia="等线" w:ascii="Arial" w:cs="Arial" w:hAnsi="Arial"/>
          <w:b w:val="true"/>
          <w:sz w:val="28"/>
        </w:rPr>
        <w:t>4.1 模块一：数据接入与治理中心</w:t>
      </w:r>
      <w:bookmarkEnd w:id="1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4.1.1 数据源管理</w:t>
      </w:r>
    </w:p>
    <w:p>
      <w:pPr>
        <w:numPr>
          <w:numId w:val="3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功能描述</w:t>
      </w:r>
      <w:r>
        <w:rPr>
          <w:rFonts w:eastAsia="等线" w:ascii="Arial" w:cs="Arial" w:hAnsi="Arial"/>
          <w:sz w:val="22"/>
        </w:rPr>
        <w:t>：支持可视化配置与管理各类数据源。</w:t>
      </w:r>
    </w:p>
    <w:p>
      <w:pPr>
        <w:numPr>
          <w:numId w:val="3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业务流程</w:t>
      </w:r>
      <w:r>
        <w:rPr>
          <w:rFonts w:eastAsia="等线" w:ascii="Arial" w:cs="Arial" w:hAnsi="Arial"/>
          <w:sz w:val="22"/>
        </w:rPr>
        <w:t>：</w:t>
      </w:r>
      <w:r>
        <w:rPr>
          <w:rFonts w:eastAsia="Consolas" w:ascii="Consolas" w:cs="Consolas" w:hAnsi="Consolas"/>
          <w:sz w:val="22"/>
          <w:shd w:fill="EFF0F1"/>
        </w:rPr>
        <w:t>新增数据源</w:t>
      </w:r>
      <w:r>
        <w:rPr>
          <w:rFonts w:eastAsia="等线" w:ascii="Arial" w:cs="Arial" w:hAnsi="Arial"/>
          <w:sz w:val="22"/>
        </w:rPr>
        <w:t xml:space="preserve"> -&gt; </w:t>
      </w:r>
      <w:r>
        <w:rPr>
          <w:rFonts w:eastAsia="Consolas" w:ascii="Consolas" w:cs="Consolas" w:hAnsi="Consolas"/>
          <w:sz w:val="22"/>
          <w:shd w:fill="EFF0F1"/>
        </w:rPr>
        <w:t>配置连接参数（API地址/数据库信息/文件路径）</w:t>
      </w:r>
      <w:r>
        <w:rPr>
          <w:rFonts w:eastAsia="等线" w:ascii="Arial" w:cs="Arial" w:hAnsi="Arial"/>
          <w:sz w:val="22"/>
        </w:rPr>
        <w:t xml:space="preserve"> -&gt; </w:t>
      </w:r>
      <w:r>
        <w:rPr>
          <w:rFonts w:eastAsia="Consolas" w:ascii="Consolas" w:cs="Consolas" w:hAnsi="Consolas"/>
          <w:sz w:val="22"/>
          <w:shd w:fill="EFF0F1"/>
        </w:rPr>
        <w:t>测试连接</w:t>
      </w:r>
      <w:r>
        <w:rPr>
          <w:rFonts w:eastAsia="等线" w:ascii="Arial" w:cs="Arial" w:hAnsi="Arial"/>
          <w:sz w:val="22"/>
        </w:rPr>
        <w:t xml:space="preserve"> -&gt; </w:t>
      </w:r>
      <w:r>
        <w:rPr>
          <w:rFonts w:eastAsia="Consolas" w:ascii="Consolas" w:cs="Consolas" w:hAnsi="Consolas"/>
          <w:sz w:val="22"/>
          <w:shd w:fill="EFF0F1"/>
        </w:rPr>
        <w:t>配置同步规则（全量/增量、频率）</w:t>
      </w:r>
      <w:r>
        <w:rPr>
          <w:rFonts w:eastAsia="等线" w:ascii="Arial" w:cs="Arial" w:hAnsi="Arial"/>
          <w:sz w:val="22"/>
        </w:rPr>
        <w:t xml:space="preserve"> -&gt; </w:t>
      </w:r>
      <w:r>
        <w:rPr>
          <w:rFonts w:eastAsia="Consolas" w:ascii="Consolas" w:cs="Consolas" w:hAnsi="Consolas"/>
          <w:sz w:val="22"/>
          <w:shd w:fill="EFF0F1"/>
        </w:rPr>
        <w:t>保存并启动任务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3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功能清单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3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支持MySQL、PostgreSQL、HTTP API、SFTP文件、Kafka等数据源类型。</w:t>
      </w:r>
    </w:p>
    <w:p>
      <w:pPr>
        <w:numPr>
          <w:numId w:val="3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可视化配置字段映射与转换规则。</w:t>
      </w:r>
    </w:p>
    <w:p>
      <w:pPr>
        <w:numPr>
          <w:numId w:val="36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任务监控面板，展示运行状态、记录条数、错误日志。</w:t>
      </w:r>
    </w:p>
    <w:p>
      <w:pPr>
        <w:numPr>
          <w:numId w:val="3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任务失败告警（支持邮件、钉钉/企微机器人）。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4.1.2 数据清洗与质量监控</w:t>
      </w:r>
    </w:p>
    <w:p>
      <w:pPr>
        <w:numPr>
          <w:numId w:val="3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功能描述</w:t>
      </w:r>
      <w:r>
        <w:rPr>
          <w:rFonts w:eastAsia="等线" w:ascii="Arial" w:cs="Arial" w:hAnsi="Arial"/>
          <w:sz w:val="22"/>
        </w:rPr>
        <w:t>：对原始数据进行去重、纠错、格式标准化，并监控数据质量。</w:t>
      </w:r>
    </w:p>
    <w:p>
      <w:pPr>
        <w:numPr>
          <w:numId w:val="3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功能清单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40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图形化或SQL界面配置清洗规则。</w:t>
      </w:r>
    </w:p>
    <w:p>
      <w:pPr>
        <w:numPr>
          <w:numId w:val="41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预置常用清洗函数（去空格、格式转换、值映射）。</w:t>
      </w:r>
    </w:p>
    <w:p>
      <w:pPr>
        <w:numPr>
          <w:numId w:val="42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数据质量看板：展示表级/字段级的完整性、唯一性、及时性、准确性得分。</w:t>
      </w:r>
    </w:p>
    <w:p>
      <w:pPr>
        <w:numPr>
          <w:numId w:val="4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质量报告生成与订阅。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12" w:id="12"/>
      <w:r>
        <w:rPr>
          <w:rFonts w:eastAsia="等线" w:ascii="Arial" w:cs="Arial" w:hAnsi="Arial"/>
          <w:b w:val="true"/>
          <w:sz w:val="28"/>
        </w:rPr>
        <w:t>4.2 模块二：标签与画像中心</w:t>
      </w:r>
      <w:bookmarkEnd w:id="1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4.2.1 标签体系管理</w:t>
      </w:r>
    </w:p>
    <w:p>
      <w:pPr>
        <w:numPr>
          <w:numId w:val="4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功能描述</w:t>
      </w:r>
      <w:r>
        <w:rPr>
          <w:rFonts w:eastAsia="等线" w:ascii="Arial" w:cs="Arial" w:hAnsi="Arial"/>
          <w:sz w:val="22"/>
        </w:rPr>
        <w:t>：创建和管理标签分类、标签定义。</w:t>
      </w:r>
    </w:p>
    <w:p>
      <w:pPr>
        <w:numPr>
          <w:numId w:val="4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业务流程</w:t>
      </w:r>
      <w:r>
        <w:rPr>
          <w:rFonts w:eastAsia="等线" w:ascii="Arial" w:cs="Arial" w:hAnsi="Arial"/>
          <w:sz w:val="22"/>
        </w:rPr>
        <w:t>：</w:t>
      </w:r>
      <w:r>
        <w:rPr>
          <w:rFonts w:eastAsia="Consolas" w:ascii="Consolas" w:cs="Consolas" w:hAnsi="Consolas"/>
          <w:sz w:val="22"/>
          <w:shd w:fill="EFF0F1"/>
        </w:rPr>
        <w:t>选择标签分类</w:t>
      </w:r>
      <w:r>
        <w:rPr>
          <w:rFonts w:eastAsia="等线" w:ascii="Arial" w:cs="Arial" w:hAnsi="Arial"/>
          <w:sz w:val="22"/>
        </w:rPr>
        <w:t xml:space="preserve"> -&gt; </w:t>
      </w:r>
      <w:r>
        <w:rPr>
          <w:rFonts w:eastAsia="Consolas" w:ascii="Consolas" w:cs="Consolas" w:hAnsi="Consolas"/>
          <w:sz w:val="22"/>
          <w:shd w:fill="EFF0F1"/>
        </w:rPr>
        <w:t>创建标签（规则/模型/AI）</w:t>
      </w:r>
      <w:r>
        <w:rPr>
          <w:rFonts w:eastAsia="等线" w:ascii="Arial" w:cs="Arial" w:hAnsi="Arial"/>
          <w:sz w:val="22"/>
        </w:rPr>
        <w:t xml:space="preserve"> -&gt; </w:t>
      </w:r>
      <w:r>
        <w:rPr>
          <w:rFonts w:eastAsia="Consolas" w:ascii="Consolas" w:cs="Consolas" w:hAnsi="Consolas"/>
          <w:sz w:val="22"/>
          <w:shd w:fill="EFF0F1"/>
        </w:rPr>
        <w:t>定义标签规则或选择模型</w:t>
      </w:r>
      <w:r>
        <w:rPr>
          <w:rFonts w:eastAsia="等线" w:ascii="Arial" w:cs="Arial" w:hAnsi="Arial"/>
          <w:sz w:val="22"/>
        </w:rPr>
        <w:t xml:space="preserve"> -&gt; </w:t>
      </w:r>
      <w:r>
        <w:rPr>
          <w:rFonts w:eastAsia="Consolas" w:ascii="Consolas" w:cs="Consolas" w:hAnsi="Consolas"/>
          <w:sz w:val="22"/>
          <w:shd w:fill="EFF0F1"/>
        </w:rPr>
        <w:t>发布标签</w:t>
      </w:r>
      <w:r>
        <w:rPr>
          <w:rFonts w:eastAsia="等线" w:ascii="Arial" w:cs="Arial" w:hAnsi="Arial"/>
          <w:sz w:val="22"/>
        </w:rPr>
        <w:t xml:space="preserve"> -&gt; </w:t>
      </w:r>
      <w:r>
        <w:rPr>
          <w:rFonts w:eastAsia="Consolas" w:ascii="Consolas" w:cs="Consolas" w:hAnsi="Consolas"/>
          <w:sz w:val="22"/>
          <w:shd w:fill="EFF0F1"/>
        </w:rPr>
        <w:t>系统自动/定时执行打标</w:t>
      </w:r>
      <w:r>
        <w:rPr>
          <w:rFonts w:eastAsia="等线" w:ascii="Arial" w:cs="Arial" w:hAnsi="Arial"/>
          <w:sz w:val="22"/>
        </w:rPr>
        <w:t>。</w:t>
      </w:r>
    </w:p>
    <w:p>
      <w:pPr>
        <w:spacing w:before="120" w:after="120" w:line="288" w:lineRule="auto"/>
        <w:ind w:left="0"/>
        <w:jc w:val="center"/>
      </w:pPr>
      <w:r>
        <w:drawing>
          <wp:inline distT="0" distR="0" distB="0" distL="0">
            <wp:extent cx="5257800" cy="7677150"/>
            <wp:docPr id="2" name="Drawing 2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4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功能清单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4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树状结构管理标签分类（如：人口属性、消费行为、社交互动、风险等级）。</w:t>
      </w:r>
    </w:p>
    <w:p>
      <w:pPr>
        <w:numPr>
          <w:numId w:val="4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支持四类标签：</w:t>
      </w:r>
    </w:p>
    <w:p>
      <w:pPr>
        <w:numPr>
          <w:numId w:val="49"/>
        </w:numPr>
        <w:spacing w:before="120" w:after="120" w:line="288" w:lineRule="auto"/>
        <w:ind w:left="907"/>
        <w:jc w:val="left"/>
      </w:pPr>
      <w:r>
        <w:rPr>
          <w:rFonts w:eastAsia="等线" w:ascii="Arial" w:cs="Arial" w:hAnsi="Arial"/>
          <w:b w:val="true"/>
          <w:sz w:val="22"/>
        </w:rPr>
        <w:t>基础标签</w:t>
      </w:r>
      <w:r>
        <w:rPr>
          <w:rFonts w:eastAsia="等线" w:ascii="Arial" w:cs="Arial" w:hAnsi="Arial"/>
          <w:sz w:val="22"/>
        </w:rPr>
        <w:t>：直接从数据中映射（如：性别、城市）。</w:t>
      </w:r>
    </w:p>
    <w:p>
      <w:pPr>
        <w:numPr>
          <w:numId w:val="50"/>
        </w:numPr>
        <w:spacing w:before="120" w:after="120" w:line="288" w:lineRule="auto"/>
        <w:ind w:left="907"/>
        <w:jc w:val="left"/>
      </w:pPr>
      <w:r>
        <w:rPr>
          <w:rFonts w:eastAsia="等线" w:ascii="Arial" w:cs="Arial" w:hAnsi="Arial"/>
          <w:b w:val="true"/>
          <w:sz w:val="22"/>
        </w:rPr>
        <w:t>规则标签</w:t>
      </w:r>
      <w:r>
        <w:rPr>
          <w:rFonts w:eastAsia="等线" w:ascii="Arial" w:cs="Arial" w:hAnsi="Arial"/>
          <w:sz w:val="22"/>
        </w:rPr>
        <w:t>：通过条件组合生成（如：</w:t>
      </w:r>
      <w:r>
        <w:rPr>
          <w:rFonts w:eastAsia="Consolas" w:ascii="Consolas" w:cs="Consolas" w:hAnsi="Consolas"/>
          <w:sz w:val="22"/>
          <w:shd w:fill="EFF0F1"/>
        </w:rPr>
        <w:t>近30天消费次数&gt;3 AND 客单价&gt;500</w:t>
      </w:r>
      <w:r>
        <w:rPr>
          <w:rFonts w:eastAsia="等线" w:ascii="Arial" w:cs="Arial" w:hAnsi="Arial"/>
          <w:sz w:val="22"/>
        </w:rPr>
        <w:t xml:space="preserve"> =&gt; </w:t>
      </w:r>
      <w:r>
        <w:rPr>
          <w:rFonts w:eastAsia="Consolas" w:ascii="Consolas" w:cs="Consolas" w:hAnsi="Consolas"/>
          <w:sz w:val="22"/>
          <w:shd w:fill="EFF0F1"/>
        </w:rPr>
        <w:t>“高复购高客单用户”</w:t>
      </w:r>
      <w:r>
        <w:rPr>
          <w:rFonts w:eastAsia="等线" w:ascii="Arial" w:cs="Arial" w:hAnsi="Arial"/>
          <w:sz w:val="22"/>
        </w:rPr>
        <w:t>）。</w:t>
      </w:r>
    </w:p>
    <w:p>
      <w:pPr>
        <w:numPr>
          <w:numId w:val="51"/>
        </w:numPr>
        <w:spacing w:before="120" w:after="120" w:line="288" w:lineRule="auto"/>
        <w:ind w:left="907"/>
        <w:jc w:val="left"/>
      </w:pPr>
      <w:r>
        <w:rPr>
          <w:rFonts w:eastAsia="等线" w:ascii="Arial" w:cs="Arial" w:hAnsi="Arial"/>
          <w:b w:val="true"/>
          <w:sz w:val="22"/>
        </w:rPr>
        <w:t>模型标签</w:t>
      </w:r>
      <w:r>
        <w:rPr>
          <w:rFonts w:eastAsia="等线" w:ascii="Arial" w:cs="Arial" w:hAnsi="Arial"/>
          <w:sz w:val="22"/>
        </w:rPr>
        <w:t>：通过机器学习模型预测生成（如：</w:t>
      </w:r>
      <w:r>
        <w:rPr>
          <w:rFonts w:eastAsia="Consolas" w:ascii="Consolas" w:cs="Consolas" w:hAnsi="Consolas"/>
          <w:sz w:val="22"/>
          <w:shd w:fill="EFF0F1"/>
        </w:rPr>
        <w:t>流失风险概率&gt;0.7</w:t>
      </w:r>
      <w:r>
        <w:rPr>
          <w:rFonts w:eastAsia="等线" w:ascii="Arial" w:cs="Arial" w:hAnsi="Arial"/>
          <w:sz w:val="22"/>
        </w:rPr>
        <w:t xml:space="preserve"> =&gt; </w:t>
      </w:r>
      <w:r>
        <w:rPr>
          <w:rFonts w:eastAsia="Consolas" w:ascii="Consolas" w:cs="Consolas" w:hAnsi="Consolas"/>
          <w:sz w:val="22"/>
          <w:shd w:fill="EFF0F1"/>
        </w:rPr>
        <w:t>“高流失风险用户”</w:t>
      </w:r>
      <w:r>
        <w:rPr>
          <w:rFonts w:eastAsia="等线" w:ascii="Arial" w:cs="Arial" w:hAnsi="Arial"/>
          <w:sz w:val="22"/>
        </w:rPr>
        <w:t>）。</w:t>
      </w:r>
    </w:p>
    <w:p>
      <w:pPr>
        <w:numPr>
          <w:numId w:val="52"/>
        </w:numPr>
        <w:spacing w:before="120" w:after="120" w:line="288" w:lineRule="auto"/>
        <w:ind w:left="907"/>
        <w:jc w:val="left"/>
      </w:pPr>
      <w:r>
        <w:rPr>
          <w:rFonts w:eastAsia="等线" w:ascii="Arial" w:cs="Arial" w:hAnsi="Arial"/>
          <w:b w:val="true"/>
          <w:sz w:val="22"/>
        </w:rPr>
        <w:t>AI标签</w:t>
      </w:r>
      <w:r>
        <w:rPr>
          <w:rFonts w:eastAsia="等线" w:ascii="Arial" w:cs="Arial" w:hAnsi="Arial"/>
          <w:sz w:val="22"/>
        </w:rPr>
        <w:t>：通过大模型对文本、图像内容分析生成（如：对聊天记录分析出</w:t>
      </w:r>
      <w:r>
        <w:rPr>
          <w:rFonts w:eastAsia="Consolas" w:ascii="Consolas" w:cs="Consolas" w:hAnsi="Consolas"/>
          <w:sz w:val="22"/>
          <w:shd w:fill="EFF0F1"/>
        </w:rPr>
        <w:t>“关注折扣”</w:t>
      </w:r>
      <w:r>
        <w:rPr>
          <w:rFonts w:eastAsia="等线" w:ascii="Arial" w:cs="Arial" w:hAnsi="Arial"/>
          <w:sz w:val="22"/>
        </w:rPr>
        <w:t>、</w:t>
      </w:r>
      <w:r>
        <w:rPr>
          <w:rFonts w:eastAsia="Consolas" w:ascii="Consolas" w:cs="Consolas" w:hAnsi="Consolas"/>
          <w:sz w:val="22"/>
          <w:shd w:fill="EFF0F1"/>
        </w:rPr>
        <w:t>“价格敏感”</w:t>
      </w:r>
      <w:r>
        <w:rPr>
          <w:rFonts w:eastAsia="等线" w:ascii="Arial" w:cs="Arial" w:hAnsi="Arial"/>
          <w:sz w:val="22"/>
        </w:rPr>
        <w:t>）。</w:t>
      </w:r>
    </w:p>
    <w:p>
      <w:pPr>
        <w:numPr>
          <w:numId w:val="5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标签生命周期管理（开发中、测试中、已上线、已下线）。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4.2.2 用户画像与人群圈选</w:t>
      </w:r>
    </w:p>
    <w:p>
      <w:pPr>
        <w:numPr>
          <w:numId w:val="5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功能描述</w:t>
      </w:r>
      <w:r>
        <w:rPr>
          <w:rFonts w:eastAsia="等线" w:ascii="Arial" w:cs="Arial" w:hAnsi="Arial"/>
          <w:sz w:val="22"/>
        </w:rPr>
        <w:t>：查看个体用户全景画像，并组合条件筛选目标人群。</w:t>
      </w:r>
    </w:p>
    <w:p>
      <w:pPr>
        <w:numPr>
          <w:numId w:val="5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功能清单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56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用户画像卡</w:t>
      </w:r>
      <w:r>
        <w:rPr>
          <w:rFonts w:eastAsia="等线" w:ascii="Arial" w:cs="Arial" w:hAnsi="Arial"/>
          <w:sz w:val="22"/>
        </w:rPr>
        <w:t>：以仪表盘形式展示单个用户的所有标签、关键行为序列、价值分数。</w:t>
      </w:r>
    </w:p>
    <w:p>
      <w:pPr>
        <w:numPr>
          <w:numId w:val="5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人群圈选器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58"/>
        </w:numPr>
        <w:spacing w:before="120" w:after="120" w:line="288" w:lineRule="auto"/>
        <w:ind w:left="907"/>
        <w:jc w:val="left"/>
      </w:pPr>
      <w:r>
        <w:rPr>
          <w:rFonts w:eastAsia="等线" w:ascii="Arial" w:cs="Arial" w:hAnsi="Arial"/>
          <w:sz w:val="22"/>
        </w:rPr>
        <w:t>支持通过标签、行为事件（如：点击某链接、完成支付）、用户属性进行“与/或/非”组合筛选。</w:t>
      </w:r>
    </w:p>
    <w:p>
      <w:pPr>
        <w:numPr>
          <w:numId w:val="59"/>
        </w:numPr>
        <w:spacing w:before="120" w:after="120" w:line="288" w:lineRule="auto"/>
        <w:ind w:left="907"/>
        <w:jc w:val="left"/>
      </w:pPr>
      <w:r>
        <w:rPr>
          <w:rFonts w:eastAsia="等线" w:ascii="Arial" w:cs="Arial" w:hAnsi="Arial"/>
          <w:sz w:val="22"/>
        </w:rPr>
        <w:t>支持保存人群包，并查看人群数量、画像分布（饼图、柱状图）。</w:t>
      </w:r>
    </w:p>
    <w:p>
      <w:pPr>
        <w:numPr>
          <w:numId w:val="60"/>
        </w:numPr>
        <w:spacing w:before="120" w:after="120" w:line="288" w:lineRule="auto"/>
        <w:ind w:left="907"/>
        <w:jc w:val="left"/>
      </w:pPr>
      <w:r>
        <w:rPr>
          <w:rFonts w:eastAsia="等线" w:ascii="Arial" w:cs="Arial" w:hAnsi="Arial"/>
          <w:sz w:val="22"/>
        </w:rPr>
        <w:t>支持对人群包进行交集、并集、差集操作。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13" w:id="13"/>
      <w:r>
        <w:rPr>
          <w:rFonts w:eastAsia="等线" w:ascii="Arial" w:cs="Arial" w:hAnsi="Arial"/>
          <w:b w:val="true"/>
          <w:sz w:val="28"/>
        </w:rPr>
        <w:t>4.3 模块三：价值评估与模型中心</w:t>
      </w:r>
      <w:bookmarkEnd w:id="13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4.3.1 模型管理</w:t>
      </w:r>
    </w:p>
    <w:p>
      <w:pPr>
        <w:numPr>
          <w:numId w:val="6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功能描述</w:t>
      </w:r>
      <w:r>
        <w:rPr>
          <w:rFonts w:eastAsia="等线" w:ascii="Arial" w:cs="Arial" w:hAnsi="Arial"/>
          <w:sz w:val="22"/>
        </w:rPr>
        <w:t>：管理用于用户、账号、项目价值评估的算法模型。</w:t>
      </w:r>
    </w:p>
    <w:p>
      <w:pPr>
        <w:numPr>
          <w:numId w:val="6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功能清单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6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模型仓库</w:t>
      </w:r>
      <w:r>
        <w:rPr>
          <w:rFonts w:eastAsia="等线" w:ascii="Arial" w:cs="Arial" w:hAnsi="Arial"/>
          <w:sz w:val="22"/>
        </w:rPr>
        <w:t>：展示所有可用模型，包括预置模型（CLV模型、RFM模型）和用户上传的自定义模型。</w:t>
      </w:r>
    </w:p>
    <w:p>
      <w:pPr>
        <w:numPr>
          <w:numId w:val="6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模型配置</w:t>
      </w:r>
      <w:r>
        <w:rPr>
          <w:rFonts w:eastAsia="等线" w:ascii="Arial" w:cs="Arial" w:hAnsi="Arial"/>
          <w:sz w:val="22"/>
        </w:rPr>
        <w:t>：为每个模型配置输入特征、输出格式、更新频率。</w:t>
      </w:r>
    </w:p>
    <w:p>
      <w:pPr>
        <w:numPr>
          <w:numId w:val="6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模型版本</w:t>
      </w:r>
      <w:r>
        <w:rPr>
          <w:rFonts w:eastAsia="等线" w:ascii="Arial" w:cs="Arial" w:hAnsi="Arial"/>
          <w:sz w:val="22"/>
        </w:rPr>
        <w:t>：支持模型多版本管理，可进行A/B测试。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4.3.2 评估服务</w:t>
      </w:r>
    </w:p>
    <w:p>
      <w:pPr>
        <w:numPr>
          <w:numId w:val="6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功能描述</w:t>
      </w:r>
      <w:r>
        <w:rPr>
          <w:rFonts w:eastAsia="等线" w:ascii="Arial" w:cs="Arial" w:hAnsi="Arial"/>
          <w:sz w:val="22"/>
        </w:rPr>
        <w:t>：执行价值评估任务并展示结果。</w:t>
      </w:r>
    </w:p>
    <w:p>
      <w:pPr>
        <w:numPr>
          <w:numId w:val="6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功能清单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6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创建评估任务</w:t>
      </w:r>
      <w:r>
        <w:rPr>
          <w:rFonts w:eastAsia="等线" w:ascii="Arial" w:cs="Arial" w:hAnsi="Arial"/>
          <w:sz w:val="22"/>
        </w:rPr>
        <w:t>：选择模型、选择评估对象（全部用户/特定人群）、设置任务周期。</w:t>
      </w:r>
    </w:p>
    <w:p>
      <w:pPr>
        <w:numPr>
          <w:numId w:val="69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评估结果查询</w:t>
      </w:r>
      <w:r>
        <w:rPr>
          <w:rFonts w:eastAsia="等线" w:ascii="Arial" w:cs="Arial" w:hAnsi="Arial"/>
          <w:sz w:val="22"/>
        </w:rPr>
        <w:t>：以列表或详情页形式查看用户/账号的价值分数、排名百分位、关键贡献因子。</w:t>
      </w:r>
    </w:p>
    <w:p>
      <w:pPr>
        <w:numPr>
          <w:numId w:val="70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评估报告</w:t>
      </w:r>
      <w:r>
        <w:rPr>
          <w:rFonts w:eastAsia="等线" w:ascii="Arial" w:cs="Arial" w:hAnsi="Arial"/>
          <w:sz w:val="22"/>
        </w:rPr>
        <w:t>：生成群体价值分布报告、趋势对比报告。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14" w:id="14"/>
      <w:r>
        <w:rPr>
          <w:rFonts w:eastAsia="等线" w:ascii="Arial" w:cs="Arial" w:hAnsi="Arial"/>
          <w:b w:val="true"/>
          <w:sz w:val="28"/>
        </w:rPr>
        <w:t>4.4 模块四：AI赋能与洞察中心</w:t>
      </w:r>
      <w:bookmarkEnd w:id="1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4.4.1 AI智能处理</w:t>
      </w:r>
    </w:p>
    <w:p>
      <w:pPr>
        <w:numPr>
          <w:numId w:val="7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功能描述</w:t>
      </w:r>
      <w:r>
        <w:rPr>
          <w:rFonts w:eastAsia="等线" w:ascii="Arial" w:cs="Arial" w:hAnsi="Arial"/>
          <w:sz w:val="22"/>
        </w:rPr>
        <w:t>：利用大模型能力提升数据处理与洞察效率。</w:t>
      </w:r>
    </w:p>
    <w:p>
      <w:pPr>
        <w:numPr>
          <w:numId w:val="7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功能清单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7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AI智能打标</w:t>
      </w:r>
      <w:r>
        <w:rPr>
          <w:rFonts w:eastAsia="等线" w:ascii="Arial" w:cs="Arial" w:hAnsi="Arial"/>
          <w:sz w:val="22"/>
        </w:rPr>
        <w:t>：上传文本（如客服对话），选择打标维度，自动生成标签建议。</w:t>
      </w:r>
    </w:p>
    <w:p>
      <w:pPr>
        <w:numPr>
          <w:numId w:val="7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智能预测</w:t>
      </w:r>
      <w:r>
        <w:rPr>
          <w:rFonts w:eastAsia="等线" w:ascii="Arial" w:cs="Arial" w:hAnsi="Arial"/>
          <w:sz w:val="22"/>
        </w:rPr>
        <w:t>：基于历史数据，预测未来关键指标趋势（如：下月活跃用户数、转化率）。</w:t>
      </w:r>
    </w:p>
    <w:p>
      <w:pPr>
        <w:numPr>
          <w:numId w:val="7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自然语言查询</w:t>
      </w:r>
      <w:r>
        <w:rPr>
          <w:rFonts w:eastAsia="等线" w:ascii="Arial" w:cs="Arial" w:hAnsi="Arial"/>
          <w:sz w:val="22"/>
        </w:rPr>
        <w:t>：允许用户通过自然语言提问（如：“上个月消费金额最高的前10个用户是谁？”），系统自动解析并返回结果图表。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4.4.2 智能报告生成</w:t>
      </w:r>
    </w:p>
    <w:p>
      <w:pPr>
        <w:numPr>
          <w:numId w:val="7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功能描述</w:t>
      </w:r>
      <w:r>
        <w:rPr>
          <w:rFonts w:eastAsia="等线" w:ascii="Arial" w:cs="Arial" w:hAnsi="Arial"/>
          <w:sz w:val="22"/>
        </w:rPr>
        <w:t>：自动化生成数据分析报告。</w:t>
      </w:r>
    </w:p>
    <w:p>
      <w:pPr>
        <w:numPr>
          <w:numId w:val="7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功能清单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7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报告模板市场</w:t>
      </w:r>
      <w:r>
        <w:rPr>
          <w:rFonts w:eastAsia="等线" w:ascii="Arial" w:cs="Arial" w:hAnsi="Arial"/>
          <w:sz w:val="22"/>
        </w:rPr>
        <w:t>：提供行业分析、项目复盘、用户洞察等报告模板。</w:t>
      </w:r>
    </w:p>
    <w:p>
      <w:pPr>
        <w:numPr>
          <w:numId w:val="79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自定义报告</w:t>
      </w:r>
      <w:r>
        <w:rPr>
          <w:rFonts w:eastAsia="等线" w:ascii="Arial" w:cs="Arial" w:hAnsi="Arial"/>
          <w:sz w:val="22"/>
        </w:rPr>
        <w:t>：用户可拖拽图表组件、选择数据维度，自定义报告内容与样式。</w:t>
      </w:r>
    </w:p>
    <w:p>
      <w:pPr>
        <w:numPr>
          <w:numId w:val="80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一键生成与分享</w:t>
      </w:r>
      <w:r>
        <w:rPr>
          <w:rFonts w:eastAsia="等线" w:ascii="Arial" w:cs="Arial" w:hAnsi="Arial"/>
          <w:sz w:val="22"/>
        </w:rPr>
        <w:t>：支持生成PDF/PPT/在线链接，并设置查看权限。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15" w:id="15"/>
      <w:r>
        <w:rPr>
          <w:rFonts w:eastAsia="等线" w:ascii="Arial" w:cs="Arial" w:hAnsi="Arial"/>
          <w:b w:val="true"/>
          <w:sz w:val="28"/>
        </w:rPr>
        <w:t>4.5 模块五：数据资产管理与输出中心</w:t>
      </w:r>
      <w:bookmarkEnd w:id="1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4.5.1 流量包管理</w:t>
      </w:r>
    </w:p>
    <w:p>
      <w:pPr>
        <w:numPr>
          <w:numId w:val="8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功能描述</w:t>
      </w:r>
      <w:r>
        <w:rPr>
          <w:rFonts w:eastAsia="等线" w:ascii="Arial" w:cs="Arial" w:hAnsi="Arial"/>
          <w:sz w:val="22"/>
        </w:rPr>
        <w:t>：将人群包封装成可售卖的数据产品。</w:t>
      </w:r>
    </w:p>
    <w:p>
      <w:pPr>
        <w:numPr>
          <w:numId w:val="8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功能清单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8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将已保存的人群包创建为“流量包”，设置名称、描述、价格、库存量、更新周期。</w:t>
      </w:r>
    </w:p>
    <w:p>
      <w:pPr>
        <w:numPr>
          <w:numId w:val="8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流量包上下架管理。</w:t>
      </w:r>
    </w:p>
    <w:p>
      <w:pPr>
        <w:numPr>
          <w:numId w:val="8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查看流量包的被采购记录、使用效果跟踪（需与业务方系统对接回传数据）。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4.5.2 API服务市场</w:t>
      </w:r>
    </w:p>
    <w:p>
      <w:pPr>
        <w:numPr>
          <w:numId w:val="8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功能描述</w:t>
      </w:r>
      <w:r>
        <w:rPr>
          <w:rFonts w:eastAsia="等线" w:ascii="Arial" w:cs="Arial" w:hAnsi="Arial"/>
          <w:sz w:val="22"/>
        </w:rPr>
        <w:t>：将核心能力封装为API供其他系统调用。</w:t>
      </w:r>
    </w:p>
    <w:p>
      <w:pPr>
        <w:numPr>
          <w:numId w:val="8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功能清单</w:t>
      </w:r>
      <w:r>
        <w:rPr>
          <w:rFonts w:eastAsia="等线" w:ascii="Arial" w:cs="Arial" w:hAnsi="Arial"/>
          <w:sz w:val="22"/>
        </w:rPr>
        <w:t>：</w:t>
      </w:r>
    </w:p>
    <w:p>
      <w:pPr>
        <w:numPr>
          <w:numId w:val="8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API列表展示：如</w:t>
      </w:r>
      <w:r>
        <w:rPr>
          <w:rFonts w:eastAsia="Consolas" w:ascii="Consolas" w:cs="Consolas" w:hAnsi="Consolas"/>
          <w:sz w:val="22"/>
          <w:shd w:fill="EFF0F1"/>
        </w:rPr>
        <w:t>GET /api/v1/user/profile/{userId}</w:t>
      </w:r>
      <w:r>
        <w:rPr>
          <w:rFonts w:eastAsia="等线" w:ascii="Arial" w:cs="Arial" w:hAnsi="Arial"/>
          <w:sz w:val="22"/>
        </w:rPr>
        <w:t>（获取用户画像），</w:t>
      </w:r>
      <w:r>
        <w:rPr>
          <w:rFonts w:eastAsia="Consolas" w:ascii="Consolas" w:cs="Consolas" w:hAnsi="Consolas"/>
          <w:sz w:val="22"/>
          <w:shd w:fill="EFF0F1"/>
        </w:rPr>
        <w:t>POST /api/v1/valuation/batch</w:t>
      </w:r>
      <w:r>
        <w:rPr>
          <w:rFonts w:eastAsia="等线" w:ascii="Arial" w:cs="Arial" w:hAnsi="Arial"/>
          <w:sz w:val="22"/>
        </w:rPr>
        <w:t>（批量价值评估）。</w:t>
      </w:r>
    </w:p>
    <w:p>
      <w:pPr>
        <w:numPr>
          <w:numId w:val="89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API文档、调用示例、在线测试。</w:t>
      </w:r>
    </w:p>
    <w:p>
      <w:pPr>
        <w:numPr>
          <w:numId w:val="90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申请与审批流程：内部业务方申请API调用权限。</w:t>
      </w:r>
    </w:p>
    <w:p>
      <w:pPr>
        <w:numPr>
          <w:numId w:val="91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用量监控与计费（可选）。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6" w:id="16"/>
      <w:r>
        <w:rPr>
          <w:rFonts w:eastAsia="等线" w:ascii="Arial" w:cs="Arial" w:hAnsi="Arial"/>
          <w:color w:val="3370ff"/>
          <w:sz w:val="30"/>
        </w:rPr>
        <w:t xml:space="preserve">5. </w:t>
      </w:r>
      <w:r>
        <w:rPr>
          <w:rFonts w:eastAsia="等线" w:ascii="Arial" w:cs="Arial" w:hAnsi="Arial"/>
          <w:b w:val="true"/>
          <w:sz w:val="30"/>
        </w:rPr>
        <w:t>非功能性需求</w:t>
      </w:r>
      <w:bookmarkEnd w:id="16"/>
    </w:p>
    <w:p>
      <w:pPr>
        <w:spacing w:before="120" w:after="120" w:line="288" w:lineRule="auto"/>
        <w:ind w:left="0"/>
      </w:pPr>
      <w:r>
        <w:object>
          <v:shape id="_x0000_i1027" style="width:414pt;height:197pt;mso-width-percent:0;mso-height-percent:0;mso-width-percent:0;mso-height-percent:0" type="#_x0000_t75" o:ole="">
            <v:imagedata r:id="rId13" o:title=""/>
          </v:shape>
          <o:OLEObject DrawAspect="Icon" ObjectID="_1718471221" ProgID="Excel.Sheet.12" ShapeID="_x0000_i1027" Type="Embed" r:id="rId12"/>
        </w:object>
      </w:r>
    </w:p>
    <w:p>
      <w:pPr>
        <w:spacing w:after="120"/>
        <w:ind w:left="0"/>
        <w:jc w:val="center"/>
      </w:pPr>
      <w:r>
        <w:rPr>
          <w:rFonts w:eastAsia="等线" w:ascii="Arial" w:cs="Arial" w:hAnsi="Arial"/>
          <w:b w:val="true"/>
          <w:sz w:val="22"/>
        </w:rPr>
        <w:t>点击图片可查看完整电子表格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7" w:id="17"/>
      <w:r>
        <w:rPr>
          <w:rFonts w:eastAsia="等线" w:ascii="Arial" w:cs="Arial" w:hAnsi="Arial"/>
          <w:color w:val="3370ff"/>
          <w:sz w:val="30"/>
        </w:rPr>
        <w:t xml:space="preserve">6. </w:t>
      </w:r>
      <w:r>
        <w:rPr>
          <w:rFonts w:eastAsia="等线" w:ascii="Arial" w:cs="Arial" w:hAnsi="Arial"/>
          <w:b w:val="true"/>
          <w:sz w:val="30"/>
        </w:rPr>
        <w:t>数据需求</w:t>
      </w:r>
      <w:bookmarkEnd w:id="17"/>
    </w:p>
    <w:p>
      <w:pPr>
        <w:numPr>
          <w:numId w:val="9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核心数据实体ER图</w:t>
      </w:r>
      <w:r>
        <w:rPr>
          <w:rFonts w:eastAsia="等线" w:ascii="Arial" w:cs="Arial" w:hAnsi="Arial"/>
          <w:sz w:val="22"/>
        </w:rPr>
        <w:t>：</w:t>
      </w:r>
    </w:p>
    <w:p>
      <w:pPr>
        <w:spacing w:before="120" w:after="120" w:line="288" w:lineRule="auto"/>
        <w:ind w:left="453"/>
        <w:jc w:val="center"/>
      </w:pPr>
      <w:r>
        <w:drawing>
          <wp:inline distT="0" distR="0" distB="0" distL="0">
            <wp:extent cx="5257800" cy="2867025"/>
            <wp:docPr id="3" name="Drawing 3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9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用户表</w:t>
      </w:r>
      <w:r>
        <w:rPr>
          <w:rFonts w:eastAsia="等线" w:ascii="Arial" w:cs="Arial" w:hAnsi="Arial"/>
          <w:sz w:val="22"/>
        </w:rPr>
        <w:t>：用户ID、所属项目、基础属性。</w:t>
      </w:r>
    </w:p>
    <w:p>
      <w:pPr>
        <w:numPr>
          <w:numId w:val="9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行为事件表</w:t>
      </w:r>
      <w:r>
        <w:rPr>
          <w:rFonts w:eastAsia="等线" w:ascii="Arial" w:cs="Arial" w:hAnsi="Arial"/>
          <w:sz w:val="22"/>
        </w:rPr>
        <w:t>：事件ID、用户ID、事件类型、事件属性、发生时间。</w:t>
      </w:r>
    </w:p>
    <w:p>
      <w:pPr>
        <w:numPr>
          <w:numId w:val="9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标签表</w:t>
      </w:r>
      <w:r>
        <w:rPr>
          <w:rFonts w:eastAsia="等线" w:ascii="Arial" w:cs="Arial" w:hAnsi="Arial"/>
          <w:sz w:val="22"/>
        </w:rPr>
        <w:t>：标签ID、标签名称、标签类型、创建规则。</w:t>
      </w:r>
    </w:p>
    <w:p>
      <w:pPr>
        <w:numPr>
          <w:numId w:val="96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用户-标签关系表</w:t>
      </w:r>
      <w:r>
        <w:rPr>
          <w:rFonts w:eastAsia="等线" w:ascii="Arial" w:cs="Arial" w:hAnsi="Arial"/>
          <w:sz w:val="22"/>
        </w:rPr>
        <w:t>：用户ID、标签ID、标签值、生效时间。</w:t>
      </w:r>
    </w:p>
    <w:p>
      <w:pPr>
        <w:numPr>
          <w:numId w:val="9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模型表</w:t>
      </w:r>
      <w:r>
        <w:rPr>
          <w:rFonts w:eastAsia="等线" w:ascii="Arial" w:cs="Arial" w:hAnsi="Arial"/>
          <w:sz w:val="22"/>
        </w:rPr>
        <w:t>：模型ID、模型名称、版本、状态、路径。</w:t>
      </w:r>
    </w:p>
    <w:p>
      <w:pPr>
        <w:numPr>
          <w:numId w:val="9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b w:val="true"/>
          <w:sz w:val="22"/>
        </w:rPr>
        <w:t>任务表</w:t>
      </w:r>
      <w:r>
        <w:rPr>
          <w:rFonts w:eastAsia="等线" w:ascii="Arial" w:cs="Arial" w:hAnsi="Arial"/>
          <w:sz w:val="22"/>
        </w:rPr>
        <w:t>：任务ID、任务类型（数据同步/模型训练）、状态、日志。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8" w:id="18"/>
      <w:r>
        <w:rPr>
          <w:rFonts w:eastAsia="等线" w:ascii="Arial" w:cs="Arial" w:hAnsi="Arial"/>
          <w:color w:val="3370ff"/>
          <w:sz w:val="30"/>
        </w:rPr>
        <w:t xml:space="preserve">7. </w:t>
      </w:r>
      <w:r>
        <w:rPr>
          <w:rFonts w:eastAsia="等线" w:ascii="Arial" w:cs="Arial" w:hAnsi="Arial"/>
          <w:b w:val="true"/>
          <w:sz w:val="30"/>
        </w:rPr>
        <w:t>运营与监控需求</w:t>
      </w:r>
      <w:bookmarkEnd w:id="18"/>
    </w:p>
    <w:p>
      <w:pPr>
        <w:numPr>
          <w:numId w:val="9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系统监控看板</w:t>
      </w:r>
      <w:r>
        <w:rPr>
          <w:rFonts w:eastAsia="等线" w:ascii="Arial" w:cs="Arial" w:hAnsi="Arial"/>
          <w:sz w:val="22"/>
        </w:rPr>
        <w:t>：展示系统健康度，包括API成功率、任务失败率、服务器资源使用率。</w:t>
      </w:r>
    </w:p>
    <w:p>
      <w:pPr>
        <w:numPr>
          <w:numId w:val="10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业务监控看板</w:t>
      </w:r>
      <w:r>
        <w:rPr>
          <w:rFonts w:eastAsia="等线" w:ascii="Arial" w:cs="Arial" w:hAnsi="Arial"/>
          <w:sz w:val="22"/>
        </w:rPr>
        <w:t>：展示核心业务指标，如每日新增数据量、标签覆盖用户数、模型调用次数、流量包交易额。</w:t>
      </w:r>
    </w:p>
    <w:p>
      <w:pPr>
        <w:numPr>
          <w:numId w:val="10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告警机制</w:t>
      </w:r>
      <w:r>
        <w:rPr>
          <w:rFonts w:eastAsia="等线" w:ascii="Arial" w:cs="Arial" w:hAnsi="Arial"/>
          <w:sz w:val="22"/>
        </w:rPr>
        <w:t>：对数据同步失败、服务异常、资源超阈值等情况进行实时告警。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9" w:id="19"/>
      <w:r>
        <w:rPr>
          <w:rFonts w:eastAsia="等线" w:ascii="Arial" w:cs="Arial" w:hAnsi="Arial"/>
          <w:color w:val="3370ff"/>
          <w:sz w:val="30"/>
        </w:rPr>
        <w:t xml:space="preserve">8. </w:t>
      </w:r>
      <w:r>
        <w:rPr>
          <w:rFonts w:eastAsia="等线" w:ascii="Arial" w:cs="Arial" w:hAnsi="Arial"/>
          <w:b w:val="true"/>
          <w:sz w:val="30"/>
        </w:rPr>
        <w:t>运营与监控需求</w:t>
      </w:r>
      <w:bookmarkEnd w:id="19"/>
    </w:p>
    <w:p>
      <w:pPr>
        <w:spacing w:before="120" w:after="120" w:line="288" w:lineRule="auto"/>
        <w:ind w:left="0"/>
      </w:pPr>
      <w:r>
        <w:object>
          <v:shape id="_x0000_i1028" style="width:414pt;height:90pt;mso-width-percent:0;mso-height-percent:0;mso-width-percent:0;mso-height-percent:0" type="#_x0000_t75" o:ole="">
            <v:imagedata r:id="rId16" o:title=""/>
          </v:shape>
          <o:OLEObject DrawAspect="Icon" ObjectID="_1718471222" ProgID="Excel.Sheet.12" ShapeID="_x0000_i1028" Type="Embed" r:id="rId15"/>
        </w:object>
      </w:r>
    </w:p>
    <w:p>
      <w:pPr>
        <w:spacing w:after="120"/>
        <w:ind w:left="0"/>
        <w:jc w:val="center"/>
      </w:pPr>
      <w:r>
        <w:rPr>
          <w:rFonts w:eastAsia="等线" w:ascii="Arial" w:cs="Arial" w:hAnsi="Arial"/>
          <w:b w:val="true"/>
          <w:sz w:val="22"/>
        </w:rPr>
        <w:t>点击图片可查看完整电子表格</w:t>
      </w:r>
    </w:p>
    <w:p>
      <w:pPr>
        <w:spacing w:before="120" w:after="120" w:line="288" w:lineRule="auto"/>
        <w:ind w:left="0"/>
        <w:jc w:val="left"/>
      </w:pPr>
    </w:p>
    <w:sectPr>
      <w:footerReference w:type="default" r:id="rId3"/>
      <w:headerReference w:type="default" r:id="rId17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75774">
    <w:lvl>
      <w:start w:val="1"/>
      <w:numFmt w:val="decimal"/>
      <w:suff w:val="tab"/>
      <w:lvlText w:val="%1."/>
      <w:rPr>
        <w:color w:val="3370ff"/>
      </w:rPr>
    </w:lvl>
  </w:abstractNum>
  <w:abstractNum w:abstractNumId="75775">
    <w:lvl>
      <w:start w:val="2"/>
      <w:numFmt w:val="decimal"/>
      <w:suff w:val="tab"/>
      <w:lvlText w:val="%1."/>
      <w:rPr>
        <w:color w:val="3370ff"/>
      </w:rPr>
    </w:lvl>
  </w:abstractNum>
  <w:abstractNum w:abstractNumId="75776">
    <w:lvl>
      <w:numFmt w:val="bullet"/>
      <w:suff w:val="tab"/>
      <w:lvlText w:val="￮"/>
      <w:rPr>
        <w:color w:val="3370ff"/>
      </w:rPr>
    </w:lvl>
  </w:abstractNum>
  <w:abstractNum w:abstractNumId="75777">
    <w:lvl>
      <w:numFmt w:val="bullet"/>
      <w:suff w:val="tab"/>
      <w:lvlText w:val="￮"/>
      <w:rPr>
        <w:color w:val="3370ff"/>
      </w:rPr>
    </w:lvl>
  </w:abstractNum>
  <w:abstractNum w:abstractNumId="75778">
    <w:lvl>
      <w:start w:val="3"/>
      <w:numFmt w:val="decimal"/>
      <w:suff w:val="tab"/>
      <w:lvlText w:val="%1."/>
      <w:rPr>
        <w:color w:val="3370ff"/>
      </w:rPr>
    </w:lvl>
  </w:abstractNum>
  <w:abstractNum w:abstractNumId="75779">
    <w:lvl>
      <w:numFmt w:val="bullet"/>
      <w:suff w:val="tab"/>
      <w:lvlText w:val="￮"/>
      <w:rPr>
        <w:color w:val="3370ff"/>
      </w:rPr>
    </w:lvl>
  </w:abstractNum>
  <w:abstractNum w:abstractNumId="75780">
    <w:lvl>
      <w:numFmt w:val="bullet"/>
      <w:suff w:val="tab"/>
      <w:lvlText w:val="￮"/>
      <w:rPr>
        <w:color w:val="3370ff"/>
      </w:rPr>
    </w:lvl>
  </w:abstractNum>
  <w:abstractNum w:abstractNumId="75781">
    <w:lvl>
      <w:numFmt w:val="bullet"/>
      <w:suff w:val="tab"/>
      <w:lvlText w:val="￮"/>
      <w:rPr>
        <w:color w:val="3370ff"/>
      </w:rPr>
    </w:lvl>
  </w:abstractNum>
  <w:abstractNum w:abstractNumId="75782">
    <w:lvl>
      <w:numFmt w:val="bullet"/>
      <w:suff w:val="tab"/>
      <w:lvlText w:val="￮"/>
      <w:rPr>
        <w:color w:val="3370ff"/>
      </w:rPr>
    </w:lvl>
  </w:abstractNum>
  <w:abstractNum w:abstractNumId="75783">
    <w:lvl>
      <w:numFmt w:val="bullet"/>
      <w:suff w:val="tab"/>
      <w:lvlText w:val="•"/>
      <w:rPr>
        <w:color w:val="3370ff"/>
      </w:rPr>
    </w:lvl>
  </w:abstractNum>
  <w:abstractNum w:abstractNumId="75784">
    <w:lvl>
      <w:numFmt w:val="bullet"/>
      <w:suff w:val="tab"/>
      <w:lvlText w:val="•"/>
      <w:rPr>
        <w:color w:val="3370ff"/>
      </w:rPr>
    </w:lvl>
  </w:abstractNum>
  <w:abstractNum w:abstractNumId="75785">
    <w:lvl>
      <w:numFmt w:val="bullet"/>
      <w:suff w:val="tab"/>
      <w:lvlText w:val="•"/>
      <w:rPr>
        <w:color w:val="3370ff"/>
      </w:rPr>
    </w:lvl>
  </w:abstractNum>
  <w:abstractNum w:abstractNumId="75786">
    <w:lvl>
      <w:numFmt w:val="bullet"/>
      <w:suff w:val="tab"/>
      <w:lvlText w:val="•"/>
      <w:rPr>
        <w:color w:val="3370ff"/>
      </w:rPr>
    </w:lvl>
  </w:abstractNum>
  <w:abstractNum w:abstractNumId="75787">
    <w:lvl>
      <w:start w:val="1"/>
      <w:numFmt w:val="decimal"/>
      <w:suff w:val="tab"/>
      <w:lvlText w:val="%1."/>
      <w:rPr>
        <w:color w:val="3370ff"/>
      </w:rPr>
    </w:lvl>
  </w:abstractNum>
  <w:abstractNum w:abstractNumId="75788">
    <w:lvl>
      <w:start w:val="2"/>
      <w:numFmt w:val="decimal"/>
      <w:suff w:val="tab"/>
      <w:lvlText w:val="%1."/>
      <w:rPr>
        <w:color w:val="3370ff"/>
      </w:rPr>
    </w:lvl>
  </w:abstractNum>
  <w:abstractNum w:abstractNumId="75789">
    <w:lvl>
      <w:start w:val="3"/>
      <w:numFmt w:val="decimal"/>
      <w:suff w:val="tab"/>
      <w:lvlText w:val="%1."/>
      <w:rPr>
        <w:color w:val="3370ff"/>
      </w:rPr>
    </w:lvl>
  </w:abstractNum>
  <w:abstractNum w:abstractNumId="75790">
    <w:lvl>
      <w:start w:val="4"/>
      <w:numFmt w:val="decimal"/>
      <w:suff w:val="tab"/>
      <w:lvlText w:val="%1."/>
      <w:rPr>
        <w:color w:val="3370ff"/>
      </w:rPr>
    </w:lvl>
  </w:abstractNum>
  <w:abstractNum w:abstractNumId="75791">
    <w:lvl>
      <w:start w:val="5"/>
      <w:numFmt w:val="decimal"/>
      <w:suff w:val="tab"/>
      <w:lvlText w:val="%1."/>
      <w:rPr>
        <w:color w:val="3370ff"/>
      </w:rPr>
    </w:lvl>
  </w:abstractNum>
  <w:abstractNum w:abstractNumId="75792">
    <w:lvl>
      <w:numFmt w:val="bullet"/>
      <w:suff w:val="tab"/>
      <w:lvlText w:val="•"/>
      <w:rPr>
        <w:color w:val="3370ff"/>
      </w:rPr>
    </w:lvl>
  </w:abstractNum>
  <w:abstractNum w:abstractNumId="75793">
    <w:lvl>
      <w:numFmt w:val="bullet"/>
      <w:suff w:val="tab"/>
      <w:lvlText w:val="￮"/>
      <w:rPr>
        <w:color w:val="3370ff"/>
      </w:rPr>
    </w:lvl>
  </w:abstractNum>
  <w:abstractNum w:abstractNumId="75794">
    <w:lvl>
      <w:numFmt w:val="bullet"/>
      <w:suff w:val="tab"/>
      <w:lvlText w:val="￮"/>
      <w:rPr>
        <w:color w:val="3370ff"/>
      </w:rPr>
    </w:lvl>
  </w:abstractNum>
  <w:abstractNum w:abstractNumId="75795">
    <w:lvl>
      <w:numFmt w:val="bullet"/>
      <w:suff w:val="tab"/>
      <w:lvlText w:val="￮"/>
      <w:rPr>
        <w:color w:val="3370ff"/>
      </w:rPr>
    </w:lvl>
  </w:abstractNum>
  <w:abstractNum w:abstractNumId="75796">
    <w:lvl>
      <w:numFmt w:val="bullet"/>
      <w:suff w:val="tab"/>
      <w:lvlText w:val="￮"/>
      <w:rPr>
        <w:color w:val="3370ff"/>
      </w:rPr>
    </w:lvl>
  </w:abstractNum>
  <w:abstractNum w:abstractNumId="75797">
    <w:lvl>
      <w:numFmt w:val="bullet"/>
      <w:suff w:val="tab"/>
      <w:lvlText w:val="•"/>
      <w:rPr>
        <w:color w:val="3370ff"/>
      </w:rPr>
    </w:lvl>
  </w:abstractNum>
  <w:abstractNum w:abstractNumId="75798">
    <w:lvl>
      <w:numFmt w:val="bullet"/>
      <w:suff w:val="tab"/>
      <w:lvlText w:val="￮"/>
      <w:rPr>
        <w:color w:val="3370ff"/>
      </w:rPr>
    </w:lvl>
  </w:abstractNum>
  <w:abstractNum w:abstractNumId="75799">
    <w:lvl>
      <w:numFmt w:val="bullet"/>
      <w:suff w:val="tab"/>
      <w:lvlText w:val="￮"/>
      <w:rPr>
        <w:color w:val="3370ff"/>
      </w:rPr>
    </w:lvl>
  </w:abstractNum>
  <w:abstractNum w:abstractNumId="75800">
    <w:lvl>
      <w:numFmt w:val="bullet"/>
      <w:suff w:val="tab"/>
      <w:lvlText w:val="￮"/>
      <w:rPr>
        <w:color w:val="3370ff"/>
      </w:rPr>
    </w:lvl>
  </w:abstractNum>
  <w:abstractNum w:abstractNumId="75801">
    <w:lvl>
      <w:numFmt w:val="bullet"/>
      <w:suff w:val="tab"/>
      <w:lvlText w:val="•"/>
      <w:rPr>
        <w:color w:val="3370ff"/>
      </w:rPr>
    </w:lvl>
  </w:abstractNum>
  <w:abstractNum w:abstractNumId="75802">
    <w:lvl>
      <w:numFmt w:val="bullet"/>
      <w:suff w:val="tab"/>
      <w:lvlText w:val="￮"/>
      <w:rPr>
        <w:color w:val="3370ff"/>
      </w:rPr>
    </w:lvl>
  </w:abstractNum>
  <w:abstractNum w:abstractNumId="75803">
    <w:lvl>
      <w:numFmt w:val="bullet"/>
      <w:suff w:val="tab"/>
      <w:lvlText w:val="￮"/>
      <w:rPr>
        <w:color w:val="3370ff"/>
      </w:rPr>
    </w:lvl>
  </w:abstractNum>
  <w:abstractNum w:abstractNumId="75804">
    <w:lvl>
      <w:numFmt w:val="bullet"/>
      <w:suff w:val="tab"/>
      <w:lvlText w:val="•"/>
      <w:rPr>
        <w:color w:val="3370ff"/>
      </w:rPr>
    </w:lvl>
  </w:abstractNum>
  <w:abstractNum w:abstractNumId="75805">
    <w:lvl>
      <w:numFmt w:val="bullet"/>
      <w:suff w:val="tab"/>
      <w:lvlText w:val="•"/>
      <w:rPr>
        <w:color w:val="3370ff"/>
      </w:rPr>
    </w:lvl>
  </w:abstractNum>
  <w:abstractNum w:abstractNumId="75806">
    <w:lvl>
      <w:numFmt w:val="bullet"/>
      <w:suff w:val="tab"/>
      <w:lvlText w:val="•"/>
      <w:rPr>
        <w:color w:val="3370ff"/>
      </w:rPr>
    </w:lvl>
  </w:abstractNum>
  <w:abstractNum w:abstractNumId="75807">
    <w:lvl>
      <w:numFmt w:val="bullet"/>
      <w:suff w:val="tab"/>
      <w:lvlText w:val="￮"/>
      <w:rPr>
        <w:color w:val="3370ff"/>
      </w:rPr>
    </w:lvl>
  </w:abstractNum>
  <w:abstractNum w:abstractNumId="75808">
    <w:lvl>
      <w:numFmt w:val="bullet"/>
      <w:suff w:val="tab"/>
      <w:lvlText w:val="￮"/>
      <w:rPr>
        <w:color w:val="3370ff"/>
      </w:rPr>
    </w:lvl>
  </w:abstractNum>
  <w:abstractNum w:abstractNumId="75809">
    <w:lvl>
      <w:numFmt w:val="bullet"/>
      <w:suff w:val="tab"/>
      <w:lvlText w:val="￮"/>
      <w:rPr>
        <w:color w:val="3370ff"/>
      </w:rPr>
    </w:lvl>
  </w:abstractNum>
  <w:abstractNum w:abstractNumId="75810">
    <w:lvl>
      <w:numFmt w:val="bullet"/>
      <w:suff w:val="tab"/>
      <w:lvlText w:val="￮"/>
      <w:rPr>
        <w:color w:val="3370ff"/>
      </w:rPr>
    </w:lvl>
  </w:abstractNum>
  <w:abstractNum w:abstractNumId="75811">
    <w:lvl>
      <w:numFmt w:val="bullet"/>
      <w:suff w:val="tab"/>
      <w:lvlText w:val="•"/>
      <w:rPr>
        <w:color w:val="3370ff"/>
      </w:rPr>
    </w:lvl>
  </w:abstractNum>
  <w:abstractNum w:abstractNumId="75812">
    <w:lvl>
      <w:numFmt w:val="bullet"/>
      <w:suff w:val="tab"/>
      <w:lvlText w:val="•"/>
      <w:rPr>
        <w:color w:val="3370ff"/>
      </w:rPr>
    </w:lvl>
  </w:abstractNum>
  <w:abstractNum w:abstractNumId="75813">
    <w:lvl>
      <w:numFmt w:val="bullet"/>
      <w:suff w:val="tab"/>
      <w:lvlText w:val="￮"/>
      <w:rPr>
        <w:color w:val="3370ff"/>
      </w:rPr>
    </w:lvl>
  </w:abstractNum>
  <w:abstractNum w:abstractNumId="75814">
    <w:lvl>
      <w:numFmt w:val="bullet"/>
      <w:suff w:val="tab"/>
      <w:lvlText w:val="￮"/>
      <w:rPr>
        <w:color w:val="3370ff"/>
      </w:rPr>
    </w:lvl>
  </w:abstractNum>
  <w:abstractNum w:abstractNumId="75815">
    <w:lvl>
      <w:numFmt w:val="bullet"/>
      <w:suff w:val="tab"/>
      <w:lvlText w:val="￮"/>
      <w:rPr>
        <w:color w:val="3370ff"/>
      </w:rPr>
    </w:lvl>
  </w:abstractNum>
  <w:abstractNum w:abstractNumId="75816">
    <w:lvl>
      <w:numFmt w:val="bullet"/>
      <w:suff w:val="tab"/>
      <w:lvlText w:val="￮"/>
      <w:rPr>
        <w:color w:val="3370ff"/>
      </w:rPr>
    </w:lvl>
  </w:abstractNum>
  <w:abstractNum w:abstractNumId="75817">
    <w:lvl>
      <w:numFmt w:val="bullet"/>
      <w:suff w:val="tab"/>
      <w:lvlText w:val="•"/>
      <w:rPr>
        <w:color w:val="3370ff"/>
      </w:rPr>
    </w:lvl>
  </w:abstractNum>
  <w:abstractNum w:abstractNumId="75818">
    <w:lvl>
      <w:numFmt w:val="bullet"/>
      <w:suff w:val="tab"/>
      <w:lvlText w:val="•"/>
      <w:rPr>
        <w:color w:val="3370ff"/>
      </w:rPr>
    </w:lvl>
  </w:abstractNum>
  <w:abstractNum w:abstractNumId="75819">
    <w:lvl>
      <w:numFmt w:val="bullet"/>
      <w:suff w:val="tab"/>
      <w:lvlText w:val="•"/>
      <w:rPr>
        <w:color w:val="3370ff"/>
      </w:rPr>
    </w:lvl>
  </w:abstractNum>
  <w:abstractNum w:abstractNumId="75820">
    <w:lvl>
      <w:numFmt w:val="bullet"/>
      <w:suff w:val="tab"/>
      <w:lvlText w:val="￮"/>
      <w:rPr>
        <w:color w:val="3370ff"/>
      </w:rPr>
    </w:lvl>
  </w:abstractNum>
  <w:abstractNum w:abstractNumId="75821">
    <w:lvl>
      <w:numFmt w:val="bullet"/>
      <w:suff w:val="tab"/>
      <w:lvlText w:val="￮"/>
      <w:rPr>
        <w:color w:val="3370ff"/>
      </w:rPr>
    </w:lvl>
  </w:abstractNum>
  <w:abstractNum w:abstractNumId="75822">
    <w:lvl>
      <w:start w:val="1"/>
      <w:numFmt w:val="lowerRoman"/>
      <w:suff w:val="tab"/>
      <w:lvlText w:val="%1."/>
      <w:rPr>
        <w:color w:val="3370ff"/>
      </w:rPr>
    </w:lvl>
  </w:abstractNum>
  <w:abstractNum w:abstractNumId="75823">
    <w:lvl>
      <w:start w:val="2"/>
      <w:numFmt w:val="lowerRoman"/>
      <w:suff w:val="tab"/>
      <w:lvlText w:val="%1."/>
      <w:rPr>
        <w:color w:val="3370ff"/>
      </w:rPr>
    </w:lvl>
  </w:abstractNum>
  <w:abstractNum w:abstractNumId="75824">
    <w:lvl>
      <w:start w:val="3"/>
      <w:numFmt w:val="lowerRoman"/>
      <w:suff w:val="tab"/>
      <w:lvlText w:val="%1."/>
      <w:rPr>
        <w:color w:val="3370ff"/>
      </w:rPr>
    </w:lvl>
  </w:abstractNum>
  <w:abstractNum w:abstractNumId="75825">
    <w:lvl>
      <w:start w:val="4"/>
      <w:numFmt w:val="lowerRoman"/>
      <w:suff w:val="tab"/>
      <w:lvlText w:val="%1."/>
      <w:rPr>
        <w:color w:val="3370ff"/>
      </w:rPr>
    </w:lvl>
  </w:abstractNum>
  <w:abstractNum w:abstractNumId="75826">
    <w:lvl>
      <w:numFmt w:val="bullet"/>
      <w:suff w:val="tab"/>
      <w:lvlText w:val="￮"/>
      <w:rPr>
        <w:color w:val="3370ff"/>
      </w:rPr>
    </w:lvl>
  </w:abstractNum>
  <w:abstractNum w:abstractNumId="75827">
    <w:lvl>
      <w:numFmt w:val="bullet"/>
      <w:suff w:val="tab"/>
      <w:lvlText w:val="•"/>
      <w:rPr>
        <w:color w:val="3370ff"/>
      </w:rPr>
    </w:lvl>
  </w:abstractNum>
  <w:abstractNum w:abstractNumId="75828">
    <w:lvl>
      <w:numFmt w:val="bullet"/>
      <w:suff w:val="tab"/>
      <w:lvlText w:val="•"/>
      <w:rPr>
        <w:color w:val="3370ff"/>
      </w:rPr>
    </w:lvl>
  </w:abstractNum>
  <w:abstractNum w:abstractNumId="75829">
    <w:lvl>
      <w:numFmt w:val="bullet"/>
      <w:suff w:val="tab"/>
      <w:lvlText w:val="￮"/>
      <w:rPr>
        <w:color w:val="3370ff"/>
      </w:rPr>
    </w:lvl>
  </w:abstractNum>
  <w:abstractNum w:abstractNumId="75830">
    <w:lvl>
      <w:numFmt w:val="bullet"/>
      <w:suff w:val="tab"/>
      <w:lvlText w:val="￮"/>
      <w:rPr>
        <w:color w:val="3370ff"/>
      </w:rPr>
    </w:lvl>
  </w:abstractNum>
  <w:abstractNum w:abstractNumId="75831">
    <w:lvl>
      <w:numFmt w:val="bullet"/>
      <w:suff w:val="tab"/>
      <w:lvlText w:val="▪"/>
      <w:rPr>
        <w:color w:val="3370ff"/>
        <w:sz w:val="11"/>
      </w:rPr>
    </w:lvl>
  </w:abstractNum>
  <w:abstractNum w:abstractNumId="75832">
    <w:lvl>
      <w:numFmt w:val="bullet"/>
      <w:suff w:val="tab"/>
      <w:lvlText w:val="▪"/>
      <w:rPr>
        <w:color w:val="3370ff"/>
        <w:sz w:val="11"/>
      </w:rPr>
    </w:lvl>
  </w:abstractNum>
  <w:abstractNum w:abstractNumId="75833">
    <w:lvl>
      <w:numFmt w:val="bullet"/>
      <w:suff w:val="tab"/>
      <w:lvlText w:val="▪"/>
      <w:rPr>
        <w:color w:val="3370ff"/>
        <w:sz w:val="11"/>
      </w:rPr>
    </w:lvl>
  </w:abstractNum>
  <w:abstractNum w:abstractNumId="75834">
    <w:lvl>
      <w:numFmt w:val="bullet"/>
      <w:suff w:val="tab"/>
      <w:lvlText w:val="•"/>
      <w:rPr>
        <w:color w:val="3370ff"/>
      </w:rPr>
    </w:lvl>
  </w:abstractNum>
  <w:abstractNum w:abstractNumId="75835">
    <w:lvl>
      <w:numFmt w:val="bullet"/>
      <w:suff w:val="tab"/>
      <w:lvlText w:val="•"/>
      <w:rPr>
        <w:color w:val="3370ff"/>
      </w:rPr>
    </w:lvl>
  </w:abstractNum>
  <w:abstractNum w:abstractNumId="75836">
    <w:lvl>
      <w:numFmt w:val="bullet"/>
      <w:suff w:val="tab"/>
      <w:lvlText w:val="￮"/>
      <w:rPr>
        <w:color w:val="3370ff"/>
      </w:rPr>
    </w:lvl>
  </w:abstractNum>
  <w:abstractNum w:abstractNumId="75837">
    <w:lvl>
      <w:numFmt w:val="bullet"/>
      <w:suff w:val="tab"/>
      <w:lvlText w:val="￮"/>
      <w:rPr>
        <w:color w:val="3370ff"/>
      </w:rPr>
    </w:lvl>
  </w:abstractNum>
  <w:abstractNum w:abstractNumId="75838">
    <w:lvl>
      <w:numFmt w:val="bullet"/>
      <w:suff w:val="tab"/>
      <w:lvlText w:val="￮"/>
      <w:rPr>
        <w:color w:val="3370ff"/>
      </w:rPr>
    </w:lvl>
  </w:abstractNum>
  <w:abstractNum w:abstractNumId="75839">
    <w:lvl>
      <w:numFmt w:val="bullet"/>
      <w:suff w:val="tab"/>
      <w:lvlText w:val="•"/>
      <w:rPr>
        <w:color w:val="3370ff"/>
      </w:rPr>
    </w:lvl>
  </w:abstractNum>
  <w:abstractNum w:abstractNumId="75840">
    <w:lvl>
      <w:numFmt w:val="bullet"/>
      <w:suff w:val="tab"/>
      <w:lvlText w:val="•"/>
      <w:rPr>
        <w:color w:val="3370ff"/>
      </w:rPr>
    </w:lvl>
  </w:abstractNum>
  <w:abstractNum w:abstractNumId="75841">
    <w:lvl>
      <w:numFmt w:val="bullet"/>
      <w:suff w:val="tab"/>
      <w:lvlText w:val="￮"/>
      <w:rPr>
        <w:color w:val="3370ff"/>
      </w:rPr>
    </w:lvl>
  </w:abstractNum>
  <w:abstractNum w:abstractNumId="75842">
    <w:lvl>
      <w:numFmt w:val="bullet"/>
      <w:suff w:val="tab"/>
      <w:lvlText w:val="￮"/>
      <w:rPr>
        <w:color w:val="3370ff"/>
      </w:rPr>
    </w:lvl>
  </w:abstractNum>
  <w:abstractNum w:abstractNumId="75843">
    <w:lvl>
      <w:numFmt w:val="bullet"/>
      <w:suff w:val="tab"/>
      <w:lvlText w:val="￮"/>
      <w:rPr>
        <w:color w:val="3370ff"/>
      </w:rPr>
    </w:lvl>
  </w:abstractNum>
  <w:abstractNum w:abstractNumId="75844">
    <w:lvl>
      <w:numFmt w:val="bullet"/>
      <w:suff w:val="tab"/>
      <w:lvlText w:val="•"/>
      <w:rPr>
        <w:color w:val="3370ff"/>
      </w:rPr>
    </w:lvl>
  </w:abstractNum>
  <w:abstractNum w:abstractNumId="75845">
    <w:lvl>
      <w:numFmt w:val="bullet"/>
      <w:suff w:val="tab"/>
      <w:lvlText w:val="•"/>
      <w:rPr>
        <w:color w:val="3370ff"/>
      </w:rPr>
    </w:lvl>
  </w:abstractNum>
  <w:abstractNum w:abstractNumId="75846">
    <w:lvl>
      <w:numFmt w:val="bullet"/>
      <w:suff w:val="tab"/>
      <w:lvlText w:val="￮"/>
      <w:rPr>
        <w:color w:val="3370ff"/>
      </w:rPr>
    </w:lvl>
  </w:abstractNum>
  <w:abstractNum w:abstractNumId="75847">
    <w:lvl>
      <w:numFmt w:val="bullet"/>
      <w:suff w:val="tab"/>
      <w:lvlText w:val="￮"/>
      <w:rPr>
        <w:color w:val="3370ff"/>
      </w:rPr>
    </w:lvl>
  </w:abstractNum>
  <w:abstractNum w:abstractNumId="75848">
    <w:lvl>
      <w:numFmt w:val="bullet"/>
      <w:suff w:val="tab"/>
      <w:lvlText w:val="￮"/>
      <w:rPr>
        <w:color w:val="3370ff"/>
      </w:rPr>
    </w:lvl>
  </w:abstractNum>
  <w:abstractNum w:abstractNumId="75849">
    <w:lvl>
      <w:numFmt w:val="bullet"/>
      <w:suff w:val="tab"/>
      <w:lvlText w:val="•"/>
      <w:rPr>
        <w:color w:val="3370ff"/>
      </w:rPr>
    </w:lvl>
  </w:abstractNum>
  <w:abstractNum w:abstractNumId="75850">
    <w:lvl>
      <w:numFmt w:val="bullet"/>
      <w:suff w:val="tab"/>
      <w:lvlText w:val="•"/>
      <w:rPr>
        <w:color w:val="3370ff"/>
      </w:rPr>
    </w:lvl>
  </w:abstractNum>
  <w:abstractNum w:abstractNumId="75851">
    <w:lvl>
      <w:numFmt w:val="bullet"/>
      <w:suff w:val="tab"/>
      <w:lvlText w:val="￮"/>
      <w:rPr>
        <w:color w:val="3370ff"/>
      </w:rPr>
    </w:lvl>
  </w:abstractNum>
  <w:abstractNum w:abstractNumId="75852">
    <w:lvl>
      <w:numFmt w:val="bullet"/>
      <w:suff w:val="tab"/>
      <w:lvlText w:val="￮"/>
      <w:rPr>
        <w:color w:val="3370ff"/>
      </w:rPr>
    </w:lvl>
  </w:abstractNum>
  <w:abstractNum w:abstractNumId="75853">
    <w:lvl>
      <w:numFmt w:val="bullet"/>
      <w:suff w:val="tab"/>
      <w:lvlText w:val="￮"/>
      <w:rPr>
        <w:color w:val="3370ff"/>
      </w:rPr>
    </w:lvl>
  </w:abstractNum>
  <w:abstractNum w:abstractNumId="75854">
    <w:lvl>
      <w:numFmt w:val="bullet"/>
      <w:suff w:val="tab"/>
      <w:lvlText w:val="•"/>
      <w:rPr>
        <w:color w:val="3370ff"/>
      </w:rPr>
    </w:lvl>
  </w:abstractNum>
  <w:abstractNum w:abstractNumId="75855">
    <w:lvl>
      <w:numFmt w:val="bullet"/>
      <w:suff w:val="tab"/>
      <w:lvlText w:val="•"/>
      <w:rPr>
        <w:color w:val="3370ff"/>
      </w:rPr>
    </w:lvl>
  </w:abstractNum>
  <w:abstractNum w:abstractNumId="75856">
    <w:lvl>
      <w:numFmt w:val="bullet"/>
      <w:suff w:val="tab"/>
      <w:lvlText w:val="￮"/>
      <w:rPr>
        <w:color w:val="3370ff"/>
      </w:rPr>
    </w:lvl>
  </w:abstractNum>
  <w:abstractNum w:abstractNumId="75857">
    <w:lvl>
      <w:numFmt w:val="bullet"/>
      <w:suff w:val="tab"/>
      <w:lvlText w:val="￮"/>
      <w:rPr>
        <w:color w:val="3370ff"/>
      </w:rPr>
    </w:lvl>
  </w:abstractNum>
  <w:abstractNum w:abstractNumId="75858">
    <w:lvl>
      <w:numFmt w:val="bullet"/>
      <w:suff w:val="tab"/>
      <w:lvlText w:val="￮"/>
      <w:rPr>
        <w:color w:val="3370ff"/>
      </w:rPr>
    </w:lvl>
  </w:abstractNum>
  <w:abstractNum w:abstractNumId="75859">
    <w:lvl>
      <w:numFmt w:val="bullet"/>
      <w:suff w:val="tab"/>
      <w:lvlText w:val="•"/>
      <w:rPr>
        <w:color w:val="3370ff"/>
      </w:rPr>
    </w:lvl>
  </w:abstractNum>
  <w:abstractNum w:abstractNumId="75860">
    <w:lvl>
      <w:numFmt w:val="bullet"/>
      <w:suff w:val="tab"/>
      <w:lvlText w:val="•"/>
      <w:rPr>
        <w:color w:val="3370ff"/>
      </w:rPr>
    </w:lvl>
  </w:abstractNum>
  <w:abstractNum w:abstractNumId="75861">
    <w:lvl>
      <w:numFmt w:val="bullet"/>
      <w:suff w:val="tab"/>
      <w:lvlText w:val="￮"/>
      <w:rPr>
        <w:color w:val="3370ff"/>
      </w:rPr>
    </w:lvl>
  </w:abstractNum>
  <w:abstractNum w:abstractNumId="75862">
    <w:lvl>
      <w:numFmt w:val="bullet"/>
      <w:suff w:val="tab"/>
      <w:lvlText w:val="￮"/>
      <w:rPr>
        <w:color w:val="3370ff"/>
      </w:rPr>
    </w:lvl>
  </w:abstractNum>
  <w:abstractNum w:abstractNumId="75863">
    <w:lvl>
      <w:numFmt w:val="bullet"/>
      <w:suff w:val="tab"/>
      <w:lvlText w:val="￮"/>
      <w:rPr>
        <w:color w:val="3370ff"/>
      </w:rPr>
    </w:lvl>
  </w:abstractNum>
  <w:abstractNum w:abstractNumId="75864">
    <w:lvl>
      <w:numFmt w:val="bullet"/>
      <w:suff w:val="tab"/>
      <w:lvlText w:val="￮"/>
      <w:rPr>
        <w:color w:val="3370ff"/>
      </w:rPr>
    </w:lvl>
  </w:abstractNum>
  <w:abstractNum w:abstractNumId="75865">
    <w:lvl>
      <w:numFmt w:val="bullet"/>
      <w:suff w:val="tab"/>
      <w:lvlText w:val="•"/>
      <w:rPr>
        <w:color w:val="3370ff"/>
      </w:rPr>
    </w:lvl>
  </w:abstractNum>
  <w:abstractNum w:abstractNumId="75866">
    <w:lvl>
      <w:numFmt w:val="bullet"/>
      <w:suff w:val="tab"/>
      <w:lvlText w:val="￮"/>
      <w:rPr>
        <w:color w:val="3370ff"/>
      </w:rPr>
    </w:lvl>
  </w:abstractNum>
  <w:abstractNum w:abstractNumId="75867">
    <w:lvl>
      <w:numFmt w:val="bullet"/>
      <w:suff w:val="tab"/>
      <w:lvlText w:val="￮"/>
      <w:rPr>
        <w:color w:val="3370ff"/>
      </w:rPr>
    </w:lvl>
  </w:abstractNum>
  <w:abstractNum w:abstractNumId="75868">
    <w:lvl>
      <w:numFmt w:val="bullet"/>
      <w:suff w:val="tab"/>
      <w:lvlText w:val="￮"/>
      <w:rPr>
        <w:color w:val="3370ff"/>
      </w:rPr>
    </w:lvl>
  </w:abstractNum>
  <w:abstractNum w:abstractNumId="75869">
    <w:lvl>
      <w:numFmt w:val="bullet"/>
      <w:suff w:val="tab"/>
      <w:lvlText w:val="￮"/>
      <w:rPr>
        <w:color w:val="3370ff"/>
      </w:rPr>
    </w:lvl>
  </w:abstractNum>
  <w:abstractNum w:abstractNumId="75870">
    <w:lvl>
      <w:numFmt w:val="bullet"/>
      <w:suff w:val="tab"/>
      <w:lvlText w:val="￮"/>
      <w:rPr>
        <w:color w:val="3370ff"/>
      </w:rPr>
    </w:lvl>
  </w:abstractNum>
  <w:abstractNum w:abstractNumId="75871">
    <w:lvl>
      <w:numFmt w:val="bullet"/>
      <w:suff w:val="tab"/>
      <w:lvlText w:val="￮"/>
      <w:rPr>
        <w:color w:val="3370ff"/>
      </w:rPr>
    </w:lvl>
  </w:abstractNum>
  <w:abstractNum w:abstractNumId="75872">
    <w:lvl>
      <w:start w:val="1"/>
      <w:numFmt w:val="decimal"/>
      <w:suff w:val="tab"/>
      <w:lvlText w:val="%1."/>
      <w:rPr>
        <w:color w:val="3370ff"/>
      </w:rPr>
    </w:lvl>
  </w:abstractNum>
  <w:abstractNum w:abstractNumId="75873">
    <w:lvl>
      <w:start w:val="2"/>
      <w:numFmt w:val="decimal"/>
      <w:suff w:val="tab"/>
      <w:lvlText w:val="%1."/>
      <w:rPr>
        <w:color w:val="3370ff"/>
      </w:rPr>
    </w:lvl>
  </w:abstractNum>
  <w:abstractNum w:abstractNumId="75874">
    <w:lvl>
      <w:start w:val="3"/>
      <w:numFmt w:val="decimal"/>
      <w:suff w:val="tab"/>
      <w:lvlText w:val="%1."/>
      <w:rPr>
        <w:color w:val="3370ff"/>
      </w:rPr>
    </w:lvl>
  </w:abstractNum>
  <w:num w:numId="1">
    <w:abstractNumId w:val="75774"/>
  </w:num>
  <w:num w:numId="2">
    <w:abstractNumId w:val="75775"/>
  </w:num>
  <w:num w:numId="3">
    <w:abstractNumId w:val="75776"/>
  </w:num>
  <w:num w:numId="4">
    <w:abstractNumId w:val="75777"/>
  </w:num>
  <w:num w:numId="5">
    <w:abstractNumId w:val="75778"/>
  </w:num>
  <w:num w:numId="6">
    <w:abstractNumId w:val="75779"/>
  </w:num>
  <w:num w:numId="7">
    <w:abstractNumId w:val="75780"/>
  </w:num>
  <w:num w:numId="8">
    <w:abstractNumId w:val="75781"/>
  </w:num>
  <w:num w:numId="9">
    <w:abstractNumId w:val="75782"/>
  </w:num>
  <w:num w:numId="10">
    <w:abstractNumId w:val="75783"/>
  </w:num>
  <w:num w:numId="11">
    <w:abstractNumId w:val="75784"/>
  </w:num>
  <w:num w:numId="12">
    <w:abstractNumId w:val="75785"/>
  </w:num>
  <w:num w:numId="13">
    <w:abstractNumId w:val="75786"/>
  </w:num>
  <w:num w:numId="14">
    <w:abstractNumId w:val="75787"/>
  </w:num>
  <w:num w:numId="15">
    <w:abstractNumId w:val="75788"/>
  </w:num>
  <w:num w:numId="16">
    <w:abstractNumId w:val="75789"/>
  </w:num>
  <w:num w:numId="17">
    <w:abstractNumId w:val="75790"/>
  </w:num>
  <w:num w:numId="18">
    <w:abstractNumId w:val="75791"/>
  </w:num>
  <w:num w:numId="19">
    <w:abstractNumId w:val="75792"/>
  </w:num>
  <w:num w:numId="20">
    <w:abstractNumId w:val="75793"/>
  </w:num>
  <w:num w:numId="21">
    <w:abstractNumId w:val="75794"/>
  </w:num>
  <w:num w:numId="22">
    <w:abstractNumId w:val="75795"/>
  </w:num>
  <w:num w:numId="23">
    <w:abstractNumId w:val="75796"/>
  </w:num>
  <w:num w:numId="24">
    <w:abstractNumId w:val="75797"/>
  </w:num>
  <w:num w:numId="25">
    <w:abstractNumId w:val="75798"/>
  </w:num>
  <w:num w:numId="26">
    <w:abstractNumId w:val="75799"/>
  </w:num>
  <w:num w:numId="27">
    <w:abstractNumId w:val="75800"/>
  </w:num>
  <w:num w:numId="28">
    <w:abstractNumId w:val="75801"/>
  </w:num>
  <w:num w:numId="29">
    <w:abstractNumId w:val="75802"/>
  </w:num>
  <w:num w:numId="30">
    <w:abstractNumId w:val="75803"/>
  </w:num>
  <w:num w:numId="31">
    <w:abstractNumId w:val="75804"/>
  </w:num>
  <w:num w:numId="32">
    <w:abstractNumId w:val="75805"/>
  </w:num>
  <w:num w:numId="33">
    <w:abstractNumId w:val="75806"/>
  </w:num>
  <w:num w:numId="34">
    <w:abstractNumId w:val="75807"/>
  </w:num>
  <w:num w:numId="35">
    <w:abstractNumId w:val="75808"/>
  </w:num>
  <w:num w:numId="36">
    <w:abstractNumId w:val="75809"/>
  </w:num>
  <w:num w:numId="37">
    <w:abstractNumId w:val="75810"/>
  </w:num>
  <w:num w:numId="38">
    <w:abstractNumId w:val="75811"/>
  </w:num>
  <w:num w:numId="39">
    <w:abstractNumId w:val="75812"/>
  </w:num>
  <w:num w:numId="40">
    <w:abstractNumId w:val="75813"/>
  </w:num>
  <w:num w:numId="41">
    <w:abstractNumId w:val="75814"/>
  </w:num>
  <w:num w:numId="42">
    <w:abstractNumId w:val="75815"/>
  </w:num>
  <w:num w:numId="43">
    <w:abstractNumId w:val="75816"/>
  </w:num>
  <w:num w:numId="44">
    <w:abstractNumId w:val="75817"/>
  </w:num>
  <w:num w:numId="45">
    <w:abstractNumId w:val="75818"/>
  </w:num>
  <w:num w:numId="46">
    <w:abstractNumId w:val="75819"/>
  </w:num>
  <w:num w:numId="47">
    <w:abstractNumId w:val="75820"/>
  </w:num>
  <w:num w:numId="48">
    <w:abstractNumId w:val="75821"/>
  </w:num>
  <w:num w:numId="49">
    <w:abstractNumId w:val="75822"/>
  </w:num>
  <w:num w:numId="50">
    <w:abstractNumId w:val="75823"/>
  </w:num>
  <w:num w:numId="51">
    <w:abstractNumId w:val="75824"/>
  </w:num>
  <w:num w:numId="52">
    <w:abstractNumId w:val="75825"/>
  </w:num>
  <w:num w:numId="53">
    <w:abstractNumId w:val="75826"/>
  </w:num>
  <w:num w:numId="54">
    <w:abstractNumId w:val="75827"/>
  </w:num>
  <w:num w:numId="55">
    <w:abstractNumId w:val="75828"/>
  </w:num>
  <w:num w:numId="56">
    <w:abstractNumId w:val="75829"/>
  </w:num>
  <w:num w:numId="57">
    <w:abstractNumId w:val="75830"/>
  </w:num>
  <w:num w:numId="58">
    <w:abstractNumId w:val="75831"/>
  </w:num>
  <w:num w:numId="59">
    <w:abstractNumId w:val="75832"/>
  </w:num>
  <w:num w:numId="60">
    <w:abstractNumId w:val="75833"/>
  </w:num>
  <w:num w:numId="61">
    <w:abstractNumId w:val="75834"/>
  </w:num>
  <w:num w:numId="62">
    <w:abstractNumId w:val="75835"/>
  </w:num>
  <w:num w:numId="63">
    <w:abstractNumId w:val="75836"/>
  </w:num>
  <w:num w:numId="64">
    <w:abstractNumId w:val="75837"/>
  </w:num>
  <w:num w:numId="65">
    <w:abstractNumId w:val="75838"/>
  </w:num>
  <w:num w:numId="66">
    <w:abstractNumId w:val="75839"/>
  </w:num>
  <w:num w:numId="67">
    <w:abstractNumId w:val="75840"/>
  </w:num>
  <w:num w:numId="68">
    <w:abstractNumId w:val="75841"/>
  </w:num>
  <w:num w:numId="69">
    <w:abstractNumId w:val="75842"/>
  </w:num>
  <w:num w:numId="70">
    <w:abstractNumId w:val="75843"/>
  </w:num>
  <w:num w:numId="71">
    <w:abstractNumId w:val="75844"/>
  </w:num>
  <w:num w:numId="72">
    <w:abstractNumId w:val="75845"/>
  </w:num>
  <w:num w:numId="73">
    <w:abstractNumId w:val="75846"/>
  </w:num>
  <w:num w:numId="74">
    <w:abstractNumId w:val="75847"/>
  </w:num>
  <w:num w:numId="75">
    <w:abstractNumId w:val="75848"/>
  </w:num>
  <w:num w:numId="76">
    <w:abstractNumId w:val="75849"/>
  </w:num>
  <w:num w:numId="77">
    <w:abstractNumId w:val="75850"/>
  </w:num>
  <w:num w:numId="78">
    <w:abstractNumId w:val="75851"/>
  </w:num>
  <w:num w:numId="79">
    <w:abstractNumId w:val="75852"/>
  </w:num>
  <w:num w:numId="80">
    <w:abstractNumId w:val="75853"/>
  </w:num>
  <w:num w:numId="81">
    <w:abstractNumId w:val="75854"/>
  </w:num>
  <w:num w:numId="82">
    <w:abstractNumId w:val="75855"/>
  </w:num>
  <w:num w:numId="83">
    <w:abstractNumId w:val="75856"/>
  </w:num>
  <w:num w:numId="84">
    <w:abstractNumId w:val="75857"/>
  </w:num>
  <w:num w:numId="85">
    <w:abstractNumId w:val="75858"/>
  </w:num>
  <w:num w:numId="86">
    <w:abstractNumId w:val="75859"/>
  </w:num>
  <w:num w:numId="87">
    <w:abstractNumId w:val="75860"/>
  </w:num>
  <w:num w:numId="88">
    <w:abstractNumId w:val="75861"/>
  </w:num>
  <w:num w:numId="89">
    <w:abstractNumId w:val="75862"/>
  </w:num>
  <w:num w:numId="90">
    <w:abstractNumId w:val="75863"/>
  </w:num>
  <w:num w:numId="91">
    <w:abstractNumId w:val="75864"/>
  </w:num>
  <w:num w:numId="92">
    <w:abstractNumId w:val="75865"/>
  </w:num>
  <w:num w:numId="93">
    <w:abstractNumId w:val="75866"/>
  </w:num>
  <w:num w:numId="94">
    <w:abstractNumId w:val="75867"/>
  </w:num>
  <w:num w:numId="95">
    <w:abstractNumId w:val="75868"/>
  </w:num>
  <w:num w:numId="96">
    <w:abstractNumId w:val="75869"/>
  </w:num>
  <w:num w:numId="97">
    <w:abstractNumId w:val="75870"/>
  </w:num>
  <w:num w:numId="98">
    <w:abstractNumId w:val="75871"/>
  </w:num>
  <w:num w:numId="99">
    <w:abstractNumId w:val="75872"/>
  </w:num>
  <w:num w:numId="100">
    <w:abstractNumId w:val="75873"/>
  </w:num>
  <w:num w:numId="101">
    <w:abstractNumId w:val="75874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10" Target="media/image4.png" Type="http://schemas.openxmlformats.org/officeDocument/2006/relationships/image"/><Relationship Id="rId11" Target="media/image5.png" Type="http://schemas.openxmlformats.org/officeDocument/2006/relationships/image"/><Relationship Id="rId12" Target="embeddings/Microsoft_Excel_Worksheet3.xlsx" Type="http://schemas.openxmlformats.org/officeDocument/2006/relationships/package"/><Relationship Id="rId13" Target="media/image6.png" Type="http://schemas.openxmlformats.org/officeDocument/2006/relationships/image"/><Relationship Id="rId14" Target="media/image7.png" Type="http://schemas.openxmlformats.org/officeDocument/2006/relationships/image"/><Relationship Id="rId15" Target="embeddings/Microsoft_Excel_Worksheet4.xlsx" Type="http://schemas.openxmlformats.org/officeDocument/2006/relationships/package"/><Relationship Id="rId16" Target="media/image8.png" Type="http://schemas.openxmlformats.org/officeDocument/2006/relationships/image"/><Relationship Id="rId17" Target="header1.xml" Type="http://schemas.openxmlformats.org/officeDocument/2006/relationships/header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embeddings/Microsoft_Excel_Worksheet1.xlsx" Type="http://schemas.openxmlformats.org/officeDocument/2006/relationships/package"/><Relationship Id="rId5" Target="media/image1.png" Type="http://schemas.openxmlformats.org/officeDocument/2006/relationships/image"/><Relationship Id="rId6" Target="numbering.xml" Type="http://schemas.openxmlformats.org/officeDocument/2006/relationships/numbering"/><Relationship Id="rId7" Target="embeddings/Microsoft_Excel_Worksheet2.xlsx" Type="http://schemas.openxmlformats.org/officeDocument/2006/relationships/package"/><Relationship Id="rId8" Target="media/image2.png" Type="http://schemas.openxmlformats.org/officeDocument/2006/relationships/image"/><Relationship Id="rId9" Target="media/image3.png" Type="http://schemas.openxmlformats.org/officeDocument/2006/relationships/image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2026-01-30T09:23:55Z</dcterms:created>
  <dc:creator>Apache POI</dc:creator>
</cp:coreProperties>
</file>